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8359B6" w:rsidP="00F93824">
      <w:pPr>
        <w:ind w:right="-187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Pr="00A3206B" w:rsidRDefault="005B03F7" w:rsidP="00F93824">
      <w:pPr>
        <w:ind w:right="-187"/>
        <w:jc w:val="center"/>
        <w:rPr>
          <w:b/>
          <w:bCs/>
          <w:sz w:val="32"/>
          <w:szCs w:val="48"/>
        </w:rPr>
      </w:pPr>
    </w:p>
    <w:p w:rsidR="005B03F7" w:rsidRPr="000856BF" w:rsidRDefault="000856BF" w:rsidP="00F93824">
      <w:pPr>
        <w:ind w:right="-18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0856BF">
        <w:rPr>
          <w:sz w:val="28"/>
          <w:szCs w:val="28"/>
          <w:u w:val="single"/>
        </w:rPr>
        <w:t>12.10.2020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</w:t>
      </w:r>
      <w:r w:rsidR="008D43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№ </w:t>
      </w:r>
      <w:r w:rsidRPr="000856BF">
        <w:rPr>
          <w:sz w:val="28"/>
          <w:szCs w:val="28"/>
          <w:u w:val="single"/>
        </w:rPr>
        <w:t>1159</w:t>
      </w:r>
    </w:p>
    <w:p w:rsidR="005B03F7" w:rsidRDefault="005B03F7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Pr="00C047EA" w:rsidRDefault="005B03F7" w:rsidP="00F93824">
      <w:pPr>
        <w:ind w:right="-187"/>
        <w:jc w:val="both"/>
        <w:rPr>
          <w:b/>
          <w:sz w:val="32"/>
          <w:szCs w:val="32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внесении и утверждении изменений в постановление админист</w:t>
      </w:r>
      <w:r w:rsidR="00281114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8</w:t>
      </w:r>
      <w:r w:rsidR="00BB49D0">
        <w:rPr>
          <w:rFonts w:ascii="Times New Roman" w:hAnsi="Times New Roman"/>
          <w:b/>
          <w:sz w:val="28"/>
          <w:szCs w:val="28"/>
        </w:rPr>
        <w:t>.</w:t>
      </w:r>
      <w:r w:rsidR="00281114">
        <w:rPr>
          <w:rFonts w:ascii="Times New Roman" w:hAnsi="Times New Roman"/>
          <w:b/>
          <w:sz w:val="28"/>
          <w:szCs w:val="28"/>
        </w:rPr>
        <w:t>0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281114">
        <w:rPr>
          <w:rFonts w:ascii="Times New Roman" w:hAnsi="Times New Roman"/>
          <w:b/>
          <w:sz w:val="28"/>
          <w:szCs w:val="28"/>
        </w:rPr>
        <w:t>58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</w:p>
    <w:p w:rsidR="00C047EA" w:rsidRPr="00C047EA" w:rsidRDefault="00C047EA" w:rsidP="00C047EA">
      <w:pPr>
        <w:tabs>
          <w:tab w:val="left" w:pos="709"/>
          <w:tab w:val="left" w:pos="1276"/>
          <w:tab w:val="left" w:pos="9498"/>
        </w:tabs>
        <w:ind w:right="142"/>
        <w:contextualSpacing/>
        <w:rPr>
          <w:b/>
          <w:sz w:val="32"/>
          <w:szCs w:val="32"/>
        </w:rPr>
      </w:pPr>
    </w:p>
    <w:p w:rsidR="00C047EA" w:rsidRDefault="00C047EA" w:rsidP="00C047EA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2B47" w:rsidRPr="0087456A">
        <w:rPr>
          <w:sz w:val="28"/>
          <w:szCs w:val="28"/>
        </w:rPr>
        <w:t xml:space="preserve">В соответствии </w:t>
      </w:r>
      <w:r w:rsidR="00E22B47">
        <w:rPr>
          <w:sz w:val="28"/>
          <w:szCs w:val="28"/>
        </w:rPr>
        <w:t xml:space="preserve">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2020 год, утвержденных решением Российской трехсторонней комиссии по регулированию социально-трудовых отношений от 24.12.2019, </w:t>
      </w:r>
      <w:r w:rsidR="00E22B47" w:rsidRPr="0087456A">
        <w:rPr>
          <w:sz w:val="28"/>
          <w:szCs w:val="28"/>
        </w:rPr>
        <w:t xml:space="preserve">постановлением главы администрации </w:t>
      </w:r>
      <w:r w:rsidR="00E22B47">
        <w:rPr>
          <w:sz w:val="28"/>
          <w:szCs w:val="28"/>
        </w:rPr>
        <w:t>города Вятские Поляны от 28.11.</w:t>
      </w:r>
      <w:r w:rsidR="00E22B47" w:rsidRPr="0087456A">
        <w:rPr>
          <w:sz w:val="28"/>
          <w:szCs w:val="28"/>
        </w:rPr>
        <w:t>2008 № 2136 «Об оплате труда работников муниципальных учреждений» (с измен</w:t>
      </w:r>
      <w:r w:rsidR="00E22B47">
        <w:rPr>
          <w:sz w:val="28"/>
          <w:szCs w:val="28"/>
        </w:rPr>
        <w:t>ениями, внесенными постановления</w:t>
      </w:r>
      <w:r w:rsidR="00E22B47" w:rsidRPr="0087456A">
        <w:rPr>
          <w:sz w:val="28"/>
          <w:szCs w:val="28"/>
        </w:rPr>
        <w:t>м</w:t>
      </w:r>
      <w:r w:rsidR="00E22B47">
        <w:rPr>
          <w:sz w:val="28"/>
          <w:szCs w:val="28"/>
        </w:rPr>
        <w:t>и</w:t>
      </w:r>
      <w:r w:rsidR="00E22B47" w:rsidRPr="0087456A">
        <w:rPr>
          <w:sz w:val="28"/>
          <w:szCs w:val="28"/>
        </w:rPr>
        <w:t xml:space="preserve"> администрации города Вятские Поляны </w:t>
      </w:r>
      <w:r w:rsidR="00E22B47" w:rsidRPr="00EF6097">
        <w:rPr>
          <w:sz w:val="28"/>
          <w:szCs w:val="28"/>
        </w:rPr>
        <w:t xml:space="preserve">от 10.04.2009 № 509, от 29.05.2009 № 822, от 28.07.2011 № 1455, от 16.01.2013 № 49, от 30.12.2016 </w:t>
      </w:r>
      <w:r w:rsidR="00F9547E">
        <w:rPr>
          <w:sz w:val="28"/>
          <w:szCs w:val="28"/>
        </w:rPr>
        <w:t xml:space="preserve"> </w:t>
      </w:r>
      <w:r w:rsidR="00E22B47" w:rsidRPr="00EF6097">
        <w:rPr>
          <w:sz w:val="28"/>
          <w:szCs w:val="28"/>
        </w:rPr>
        <w:t>№ 2450, от 12.08.2020 № 931</w:t>
      </w:r>
      <w:r w:rsidR="00E22B47"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администрация города Вятские Поляны ПОСТАНОВЛЯЕТ</w:t>
      </w:r>
      <w:r w:rsidRPr="00233F45">
        <w:rPr>
          <w:sz w:val="28"/>
          <w:szCs w:val="28"/>
        </w:rPr>
        <w:t>:</w:t>
      </w:r>
    </w:p>
    <w:p w:rsidR="00F12D2C" w:rsidRPr="004F2FB0" w:rsidRDefault="00E22B47" w:rsidP="00281114">
      <w:pPr>
        <w:shd w:val="clear" w:color="auto" w:fill="FFFFFF"/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47EA">
        <w:rPr>
          <w:sz w:val="28"/>
          <w:szCs w:val="28"/>
        </w:rPr>
        <w:t xml:space="preserve">Внести изменения в постановление администрации города </w:t>
      </w:r>
      <w:r w:rsidR="00C047EA" w:rsidRPr="004D6B10">
        <w:rPr>
          <w:sz w:val="28"/>
          <w:szCs w:val="28"/>
        </w:rPr>
        <w:t xml:space="preserve">Вятские Поляны </w:t>
      </w:r>
      <w:r w:rsidR="00C047EA">
        <w:rPr>
          <w:sz w:val="28"/>
          <w:szCs w:val="28"/>
        </w:rPr>
        <w:t>от</w:t>
      </w:r>
      <w:r w:rsidR="00C047EA" w:rsidRPr="004D6B10">
        <w:rPr>
          <w:sz w:val="28"/>
          <w:szCs w:val="28"/>
        </w:rPr>
        <w:t xml:space="preserve"> </w:t>
      </w:r>
      <w:r w:rsidR="00C047EA">
        <w:rPr>
          <w:sz w:val="28"/>
          <w:szCs w:val="28"/>
        </w:rPr>
        <w:t>1</w:t>
      </w:r>
      <w:r w:rsidR="00281114">
        <w:rPr>
          <w:sz w:val="28"/>
          <w:szCs w:val="28"/>
        </w:rPr>
        <w:t>8</w:t>
      </w:r>
      <w:r w:rsidR="00C047EA">
        <w:rPr>
          <w:sz w:val="28"/>
          <w:szCs w:val="28"/>
        </w:rPr>
        <w:t>.</w:t>
      </w:r>
      <w:r w:rsidR="00281114">
        <w:rPr>
          <w:sz w:val="28"/>
          <w:szCs w:val="28"/>
        </w:rPr>
        <w:t>0</w:t>
      </w:r>
      <w:r w:rsidR="00C047EA">
        <w:rPr>
          <w:sz w:val="28"/>
          <w:szCs w:val="28"/>
        </w:rPr>
        <w:t>1</w:t>
      </w:r>
      <w:r w:rsidR="00281114">
        <w:rPr>
          <w:sz w:val="28"/>
          <w:szCs w:val="28"/>
        </w:rPr>
        <w:t>.2019</w:t>
      </w:r>
      <w:r w:rsidR="00C047EA" w:rsidRPr="004D6B10">
        <w:rPr>
          <w:sz w:val="28"/>
          <w:szCs w:val="28"/>
        </w:rPr>
        <w:t xml:space="preserve"> </w:t>
      </w:r>
      <w:r w:rsidR="00281114">
        <w:rPr>
          <w:sz w:val="28"/>
          <w:szCs w:val="28"/>
        </w:rPr>
        <w:t>№ 58</w:t>
      </w:r>
      <w:r w:rsidR="00C047EA" w:rsidRPr="004D6B10">
        <w:rPr>
          <w:sz w:val="28"/>
          <w:szCs w:val="28"/>
        </w:rPr>
        <w:t xml:space="preserve"> </w:t>
      </w:r>
      <w:r w:rsidR="00C047EA" w:rsidRPr="00843EBE">
        <w:rPr>
          <w:sz w:val="28"/>
          <w:szCs w:val="28"/>
        </w:rPr>
        <w:t>«</w:t>
      </w:r>
      <w:r w:rsidR="00281114" w:rsidRPr="00281114">
        <w:rPr>
          <w:color w:val="000000"/>
          <w:spacing w:val="2"/>
          <w:sz w:val="28"/>
          <w:szCs w:val="28"/>
        </w:rPr>
        <w:t>Об утверждении Примерного положения 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  <w:r w:rsidR="00281114">
        <w:rPr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 (с изменения</w:t>
      </w:r>
      <w:r w:rsidR="00ED1647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и</w:t>
      </w:r>
      <w:r w:rsidR="00ED1647">
        <w:rPr>
          <w:color w:val="000000"/>
          <w:spacing w:val="2"/>
          <w:sz w:val="28"/>
          <w:szCs w:val="28"/>
        </w:rPr>
        <w:t>, внесенным</w:t>
      </w:r>
      <w:r>
        <w:rPr>
          <w:color w:val="000000"/>
          <w:spacing w:val="2"/>
          <w:sz w:val="28"/>
          <w:szCs w:val="28"/>
        </w:rPr>
        <w:t>и постановления</w:t>
      </w:r>
      <w:r w:rsidR="00ED1647"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и</w:t>
      </w:r>
      <w:r w:rsidR="00ED1647">
        <w:rPr>
          <w:color w:val="000000"/>
          <w:spacing w:val="2"/>
          <w:sz w:val="28"/>
          <w:szCs w:val="28"/>
        </w:rPr>
        <w:t xml:space="preserve"> администрации города Вятские Поляны от 01.03.2019 № 264</w:t>
      </w:r>
      <w:r>
        <w:rPr>
          <w:color w:val="000000"/>
          <w:spacing w:val="2"/>
          <w:sz w:val="28"/>
          <w:szCs w:val="28"/>
        </w:rPr>
        <w:t xml:space="preserve">, от </w:t>
      </w:r>
      <w:r w:rsidR="00A3206B">
        <w:rPr>
          <w:color w:val="000000"/>
          <w:spacing w:val="2"/>
          <w:sz w:val="28"/>
          <w:szCs w:val="28"/>
        </w:rPr>
        <w:t xml:space="preserve">30.10.2019 </w:t>
      </w:r>
      <w:r w:rsidR="00DB587E">
        <w:rPr>
          <w:color w:val="000000"/>
          <w:spacing w:val="2"/>
          <w:sz w:val="28"/>
          <w:szCs w:val="28"/>
        </w:rPr>
        <w:t>№ 1513</w:t>
      </w:r>
      <w:r w:rsidR="00ED1647">
        <w:rPr>
          <w:color w:val="000000"/>
          <w:spacing w:val="2"/>
          <w:sz w:val="28"/>
          <w:szCs w:val="28"/>
        </w:rPr>
        <w:t>)</w:t>
      </w:r>
      <w:r w:rsidR="00281114" w:rsidRPr="00281114">
        <w:rPr>
          <w:color w:val="000000"/>
          <w:spacing w:val="2"/>
          <w:sz w:val="28"/>
          <w:szCs w:val="28"/>
        </w:rPr>
        <w:t xml:space="preserve"> </w:t>
      </w:r>
      <w:r w:rsidR="00281114">
        <w:rPr>
          <w:sz w:val="28"/>
          <w:szCs w:val="28"/>
        </w:rPr>
        <w:t>(далее – постановление)</w:t>
      </w:r>
      <w:r w:rsidR="00A3206B">
        <w:rPr>
          <w:sz w:val="28"/>
          <w:szCs w:val="28"/>
        </w:rPr>
        <w:t>,</w:t>
      </w:r>
      <w:r w:rsidR="00A3206B" w:rsidRPr="00A3206B">
        <w:rPr>
          <w:sz w:val="28"/>
          <w:szCs w:val="28"/>
        </w:rPr>
        <w:t xml:space="preserve"> </w:t>
      </w:r>
      <w:r w:rsidR="00A3206B">
        <w:rPr>
          <w:sz w:val="28"/>
          <w:szCs w:val="28"/>
        </w:rPr>
        <w:t>утвердив изменения в Примерное положение</w:t>
      </w:r>
      <w:r w:rsidR="00A3206B" w:rsidRPr="00AD6E19">
        <w:rPr>
          <w:color w:val="000000"/>
          <w:spacing w:val="2"/>
          <w:sz w:val="28"/>
          <w:szCs w:val="28"/>
        </w:rPr>
        <w:t xml:space="preserve"> </w:t>
      </w:r>
      <w:r w:rsidR="00A3206B" w:rsidRPr="00281114">
        <w:rPr>
          <w:color w:val="000000"/>
          <w:spacing w:val="2"/>
          <w:sz w:val="28"/>
          <w:szCs w:val="28"/>
        </w:rPr>
        <w:t xml:space="preserve">об оплате труда работников муниципальных бюджетных образовательных учреждений дополнительного </w:t>
      </w:r>
      <w:r w:rsidR="00A3206B" w:rsidRPr="00281114">
        <w:rPr>
          <w:color w:val="000000"/>
          <w:spacing w:val="2"/>
          <w:sz w:val="28"/>
          <w:szCs w:val="28"/>
        </w:rPr>
        <w:lastRenderedPageBreak/>
        <w:t>образования, подведомственных Управлению социальной политики администрации города Вятские Поляны</w:t>
      </w:r>
      <w:r w:rsidR="00A3206B">
        <w:rPr>
          <w:color w:val="000000"/>
          <w:spacing w:val="2"/>
          <w:sz w:val="28"/>
          <w:szCs w:val="28"/>
        </w:rPr>
        <w:t>, являющееся приложением к постановлению, согласно приложению.</w:t>
      </w:r>
    </w:p>
    <w:p w:rsidR="00C047EA" w:rsidRDefault="00C047EA" w:rsidP="007221A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06B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</w:t>
      </w:r>
      <w:r w:rsidR="00843EBE">
        <w:rPr>
          <w:sz w:val="28"/>
          <w:szCs w:val="28"/>
        </w:rPr>
        <w:t>распространяется на правоотношения</w:t>
      </w:r>
      <w:r w:rsidR="007221AE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 </w:t>
      </w:r>
      <w:r w:rsidR="007B721C">
        <w:rPr>
          <w:sz w:val="28"/>
          <w:szCs w:val="28"/>
        </w:rPr>
        <w:t>сентября 2020</w:t>
      </w:r>
      <w:r>
        <w:rPr>
          <w:sz w:val="28"/>
          <w:szCs w:val="28"/>
        </w:rPr>
        <w:t xml:space="preserve"> года. </w:t>
      </w:r>
    </w:p>
    <w:p w:rsidR="00985B00" w:rsidRDefault="00A3206B" w:rsidP="00843EB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047EA">
        <w:rPr>
          <w:sz w:val="28"/>
          <w:szCs w:val="28"/>
        </w:rPr>
        <w:t>. Контроль за исполнением постановления возложить на заместителя главы администрации города Слобожанинову А.Ю.</w:t>
      </w:r>
    </w:p>
    <w:p w:rsidR="00985B00" w:rsidRPr="00985B00" w:rsidRDefault="00A3206B" w:rsidP="00843EB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85B00">
        <w:rPr>
          <w:sz w:val="28"/>
          <w:szCs w:val="28"/>
        </w:rPr>
        <w:t>. Разместить настоящее постановление на официальном сайте администрации города Вятские Поляны.</w:t>
      </w:r>
    </w:p>
    <w:p w:rsidR="00C047EA" w:rsidRDefault="00C047EA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843EBE" w:rsidRDefault="00843EBE" w:rsidP="00A548F9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0856BF" w:rsidRDefault="00E17601" w:rsidP="000856BF">
      <w:pP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Поляны</w:t>
      </w:r>
      <w:r w:rsidR="00490D5E">
        <w:rPr>
          <w:sz w:val="28"/>
          <w:szCs w:val="28"/>
        </w:rPr>
        <w:t xml:space="preserve">    </w:t>
      </w:r>
      <w:r w:rsidR="002F69DB">
        <w:rPr>
          <w:sz w:val="28"/>
          <w:szCs w:val="28"/>
        </w:rPr>
        <w:t xml:space="preserve"> </w:t>
      </w:r>
      <w:r w:rsidR="00281114">
        <w:rPr>
          <w:sz w:val="28"/>
          <w:szCs w:val="28"/>
        </w:rPr>
        <w:t xml:space="preserve">        </w:t>
      </w:r>
      <w:r w:rsidR="002F69DB">
        <w:rPr>
          <w:sz w:val="28"/>
          <w:szCs w:val="28"/>
        </w:rPr>
        <w:t xml:space="preserve">    </w:t>
      </w:r>
      <w:r w:rsidR="00490D5E">
        <w:rPr>
          <w:sz w:val="28"/>
          <w:szCs w:val="28"/>
        </w:rPr>
        <w:t xml:space="preserve">                </w:t>
      </w:r>
      <w:r w:rsidR="008F441E">
        <w:rPr>
          <w:sz w:val="28"/>
          <w:szCs w:val="28"/>
        </w:rPr>
        <w:t xml:space="preserve">  </w:t>
      </w:r>
      <w:r w:rsidR="00281114">
        <w:rPr>
          <w:sz w:val="28"/>
          <w:szCs w:val="28"/>
        </w:rPr>
        <w:t xml:space="preserve">       </w:t>
      </w:r>
      <w:r w:rsidR="008F441E">
        <w:rPr>
          <w:sz w:val="28"/>
          <w:szCs w:val="28"/>
        </w:rPr>
        <w:t xml:space="preserve">   </w:t>
      </w:r>
      <w:r w:rsidR="00F93824">
        <w:rPr>
          <w:sz w:val="28"/>
          <w:szCs w:val="28"/>
        </w:rPr>
        <w:t xml:space="preserve">   </w:t>
      </w:r>
    </w:p>
    <w:p w:rsidR="00644C1E" w:rsidRDefault="000856BF" w:rsidP="000856BF">
      <w:pPr>
        <w:tabs>
          <w:tab w:val="left" w:pos="0"/>
        </w:tabs>
        <w:ind w:right="-1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81114">
        <w:rPr>
          <w:sz w:val="28"/>
          <w:szCs w:val="28"/>
        </w:rPr>
        <w:t>А.</w:t>
      </w:r>
      <w:r w:rsidR="00E17601">
        <w:rPr>
          <w:sz w:val="28"/>
          <w:szCs w:val="28"/>
        </w:rPr>
        <w:t>П.</w:t>
      </w:r>
      <w:r w:rsidR="00281114">
        <w:rPr>
          <w:sz w:val="28"/>
          <w:szCs w:val="28"/>
        </w:rPr>
        <w:t xml:space="preserve"> </w:t>
      </w:r>
      <w:r w:rsidR="00E17601">
        <w:rPr>
          <w:sz w:val="28"/>
          <w:szCs w:val="28"/>
        </w:rPr>
        <w:t>Солодян</w:t>
      </w:r>
      <w:r w:rsidR="00281114">
        <w:rPr>
          <w:sz w:val="28"/>
          <w:szCs w:val="28"/>
        </w:rPr>
        <w:t>кин</w:t>
      </w:r>
    </w:p>
    <w:p w:rsidR="00281114" w:rsidRDefault="00F9547E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9547E" w:rsidRDefault="00F9547E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962"/>
        <w:gridCol w:w="2126"/>
        <w:gridCol w:w="2835"/>
      </w:tblGrid>
      <w:tr w:rsidR="00690EC3" w:rsidRPr="005748B4" w:rsidTr="004500C8">
        <w:tc>
          <w:tcPr>
            <w:tcW w:w="4962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4E3FC3">
        <w:tc>
          <w:tcPr>
            <w:tcW w:w="4962" w:type="dxa"/>
          </w:tcPr>
          <w:p w:rsidR="00690EC3" w:rsidRPr="005748B4" w:rsidRDefault="00D138BA" w:rsidP="004E3FC3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="00226054">
              <w:rPr>
                <w:sz w:val="28"/>
                <w:szCs w:val="28"/>
              </w:rPr>
              <w:t xml:space="preserve"> МКУ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2126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690EC3" w:rsidRPr="005748B4" w:rsidRDefault="008907A6" w:rsidP="00F93824">
            <w:pPr>
              <w:tabs>
                <w:tab w:val="left" w:pos="1701"/>
              </w:tabs>
              <w:ind w:right="-18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Е.С. Никулина</w:t>
            </w:r>
          </w:p>
        </w:tc>
      </w:tr>
    </w:tbl>
    <w:p w:rsidR="00A3206B" w:rsidRPr="00A3206B" w:rsidRDefault="00A3206B" w:rsidP="004E3FC3">
      <w:pPr>
        <w:shd w:val="clear" w:color="auto" w:fill="FFFFFF"/>
        <w:spacing w:line="360" w:lineRule="auto"/>
        <w:ind w:right="-187"/>
        <w:rPr>
          <w:color w:val="000000"/>
          <w:sz w:val="28"/>
          <w:szCs w:val="28"/>
        </w:rPr>
        <w:sectPr w:rsidR="00A3206B" w:rsidRPr="00A3206B" w:rsidSect="005A3DC9">
          <w:headerReference w:type="default" r:id="rId9"/>
          <w:pgSz w:w="11906" w:h="16838"/>
          <w:pgMar w:top="1135" w:right="849" w:bottom="851" w:left="1605" w:header="375" w:footer="720" w:gutter="0"/>
          <w:cols w:space="720"/>
          <w:titlePg/>
          <w:docGrid w:linePitch="360"/>
        </w:sectPr>
      </w:pPr>
    </w:p>
    <w:p w:rsidR="00A3206B" w:rsidRPr="008F441E" w:rsidRDefault="00A3206B" w:rsidP="00A3206B">
      <w:pPr>
        <w:pStyle w:val="af0"/>
        <w:tabs>
          <w:tab w:val="left" w:pos="6521"/>
        </w:tabs>
        <w:spacing w:after="0"/>
        <w:ind w:left="5040" w:right="-4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F441E">
        <w:rPr>
          <w:sz w:val="28"/>
          <w:szCs w:val="28"/>
        </w:rPr>
        <w:t>Приложение</w:t>
      </w:r>
    </w:p>
    <w:p w:rsidR="00A3206B" w:rsidRPr="00583E93" w:rsidRDefault="00A3206B" w:rsidP="00A3206B">
      <w:pPr>
        <w:pStyle w:val="af0"/>
        <w:ind w:left="18183" w:right="-46"/>
      </w:pPr>
    </w:p>
    <w:p w:rsidR="00A3206B" w:rsidRDefault="00A3206B" w:rsidP="00A3206B">
      <w:pPr>
        <w:pStyle w:val="ConsPlusNormal"/>
        <w:widowControl/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УТВЕРЖДЕНЫ</w:t>
      </w:r>
    </w:p>
    <w:p w:rsidR="00A3206B" w:rsidRPr="004F4970" w:rsidRDefault="00A3206B" w:rsidP="00A3206B">
      <w:pPr>
        <w:pStyle w:val="ConsPlusNormal"/>
        <w:widowControl/>
        <w:tabs>
          <w:tab w:val="left" w:pos="5387"/>
        </w:tabs>
        <w:ind w:left="18183" w:right="-46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3206B" w:rsidRDefault="00A3206B" w:rsidP="00A3206B">
      <w:pPr>
        <w:pStyle w:val="ConsPlusNormal"/>
        <w:widowControl/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 </w:t>
      </w:r>
    </w:p>
    <w:p w:rsidR="00A3206B" w:rsidRDefault="00A3206B" w:rsidP="00A3206B">
      <w:pPr>
        <w:pStyle w:val="ConsPlusNormal"/>
        <w:widowControl/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города Вятские Поляны</w:t>
      </w:r>
    </w:p>
    <w:p w:rsidR="00A3206B" w:rsidRDefault="00A3206B" w:rsidP="00A3206B">
      <w:pPr>
        <w:pStyle w:val="ConsPlusNormal"/>
        <w:widowControl/>
        <w:tabs>
          <w:tab w:val="left" w:pos="6521"/>
        </w:tabs>
        <w:ind w:left="5040" w:right="-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0856BF">
        <w:rPr>
          <w:rFonts w:ascii="Times New Roman" w:hAnsi="Times New Roman" w:cs="Times New Roman"/>
          <w:sz w:val="28"/>
          <w:szCs w:val="28"/>
        </w:rPr>
        <w:t>12.10.2020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856BF">
        <w:rPr>
          <w:rFonts w:ascii="Times New Roman" w:hAnsi="Times New Roman" w:cs="Times New Roman"/>
          <w:sz w:val="28"/>
          <w:szCs w:val="28"/>
        </w:rPr>
        <w:t>1159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3206B" w:rsidRDefault="00A3206B" w:rsidP="00A3206B">
      <w:pPr>
        <w:pStyle w:val="ConsPlusNormal"/>
        <w:widowControl/>
        <w:ind w:right="-46" w:firstLine="0"/>
        <w:rPr>
          <w:rFonts w:ascii="Times New Roman" w:hAnsi="Times New Roman" w:cs="Times New Roman"/>
          <w:b/>
          <w:sz w:val="28"/>
          <w:szCs w:val="28"/>
        </w:rPr>
      </w:pPr>
    </w:p>
    <w:p w:rsidR="00A3206B" w:rsidRDefault="00A3206B" w:rsidP="00A3206B">
      <w:pPr>
        <w:pStyle w:val="ConsPlusNormal"/>
        <w:widowControl/>
        <w:ind w:right="-46" w:firstLine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</w:t>
      </w:r>
      <w:r w:rsidRPr="00045DC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Примерное положение</w:t>
      </w:r>
      <w:r w:rsidRPr="00C4050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</w:p>
    <w:p w:rsidR="00A3206B" w:rsidRDefault="00A3206B" w:rsidP="00A3206B">
      <w:pPr>
        <w:pStyle w:val="ConsPlusNormal"/>
        <w:widowControl/>
        <w:ind w:right="-46" w:firstLine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4050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об оплате труда работников</w:t>
      </w:r>
      <w:r w:rsidRPr="00A3206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</w:p>
    <w:p w:rsidR="00A3206B" w:rsidRPr="00C40506" w:rsidRDefault="00A3206B" w:rsidP="00A3206B">
      <w:pPr>
        <w:pStyle w:val="ConsPlusNormal"/>
        <w:widowControl/>
        <w:ind w:right="-4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6B" w:rsidRDefault="00A3206B" w:rsidP="00A3206B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Подпункт 2.1.7 пункта 2.1 раздела 2 «Порядок и условия оплаты труда» изложить в следующей редакции:</w:t>
      </w:r>
    </w:p>
    <w:p w:rsidR="00A3206B" w:rsidRDefault="00A3206B" w:rsidP="00A3206B">
      <w:pPr>
        <w:spacing w:line="360" w:lineRule="auto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4040">
        <w:rPr>
          <w:sz w:val="28"/>
          <w:szCs w:val="28"/>
        </w:rPr>
        <w:t>2.1.7. Рекомендуемые минимальные размеры окладов (должностных окладов), ставок заработной платы работников образования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4"/>
        <w:gridCol w:w="1275"/>
      </w:tblGrid>
      <w:tr w:rsidR="00A3206B" w:rsidRPr="00554040" w:rsidTr="004B7811">
        <w:tc>
          <w:tcPr>
            <w:tcW w:w="8364" w:type="dxa"/>
          </w:tcPr>
          <w:p w:rsidR="00A3206B" w:rsidRPr="002E34B9" w:rsidRDefault="00A3206B" w:rsidP="004B7811">
            <w:pPr>
              <w:jc w:val="both"/>
              <w:rPr>
                <w:sz w:val="28"/>
                <w:szCs w:val="28"/>
              </w:rPr>
            </w:pPr>
            <w:r w:rsidRPr="002E34B9">
              <w:rPr>
                <w:sz w:val="28"/>
                <w:szCs w:val="28"/>
              </w:rPr>
              <w:t>ПКГ должностей педагогических работников:</w:t>
            </w:r>
          </w:p>
          <w:p w:rsidR="00A3206B" w:rsidRPr="002E34B9" w:rsidRDefault="00A3206B" w:rsidP="004B7811">
            <w:pPr>
              <w:jc w:val="both"/>
              <w:rPr>
                <w:sz w:val="28"/>
                <w:szCs w:val="28"/>
              </w:rPr>
            </w:pPr>
            <w:r w:rsidRPr="002E34B9">
              <w:rPr>
                <w:sz w:val="28"/>
                <w:szCs w:val="28"/>
              </w:rPr>
              <w:t>2 квалификационный уровень</w:t>
            </w:r>
            <w:r>
              <w:rPr>
                <w:sz w:val="28"/>
                <w:szCs w:val="28"/>
              </w:rPr>
              <w:t xml:space="preserve"> – </w:t>
            </w:r>
            <w:r w:rsidRPr="002E34B9">
              <w:rPr>
                <w:sz w:val="28"/>
                <w:szCs w:val="28"/>
              </w:rPr>
              <w:t>концертмейстер</w:t>
            </w:r>
            <w:r>
              <w:rPr>
                <w:sz w:val="28"/>
                <w:szCs w:val="28"/>
              </w:rPr>
              <w:t>, педагог – организатор</w:t>
            </w:r>
            <w:r w:rsidRPr="002E34B9">
              <w:rPr>
                <w:sz w:val="28"/>
                <w:szCs w:val="28"/>
              </w:rPr>
              <w:t>;</w:t>
            </w:r>
          </w:p>
          <w:p w:rsidR="00A3206B" w:rsidRPr="002E34B9" w:rsidRDefault="00A3206B" w:rsidP="004B7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 –</w:t>
            </w:r>
            <w:r w:rsidRPr="002E34B9">
              <w:rPr>
                <w:sz w:val="28"/>
                <w:szCs w:val="28"/>
              </w:rPr>
              <w:t xml:space="preserve"> методист;</w:t>
            </w:r>
          </w:p>
          <w:p w:rsidR="00A3206B" w:rsidRPr="002E34B9" w:rsidRDefault="00A3206B" w:rsidP="004B7811">
            <w:pPr>
              <w:jc w:val="both"/>
              <w:rPr>
                <w:sz w:val="28"/>
                <w:szCs w:val="28"/>
              </w:rPr>
            </w:pPr>
            <w:r w:rsidRPr="002E34B9">
              <w:rPr>
                <w:sz w:val="28"/>
                <w:szCs w:val="28"/>
              </w:rPr>
              <w:t xml:space="preserve">4 квалификационный уровень </w:t>
            </w:r>
            <w:r>
              <w:rPr>
                <w:sz w:val="28"/>
                <w:szCs w:val="28"/>
              </w:rPr>
              <w:t>–</w:t>
            </w:r>
            <w:r w:rsidRPr="002E34B9">
              <w:rPr>
                <w:sz w:val="28"/>
                <w:szCs w:val="28"/>
              </w:rPr>
              <w:t xml:space="preserve"> преподаватель</w:t>
            </w:r>
            <w:r>
              <w:rPr>
                <w:sz w:val="28"/>
                <w:szCs w:val="28"/>
              </w:rPr>
              <w:t>, старший методист</w:t>
            </w:r>
            <w:r w:rsidRPr="002E34B9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3206B" w:rsidRPr="002E34B9" w:rsidRDefault="00A3206B" w:rsidP="004B7811">
            <w:pPr>
              <w:ind w:right="-45" w:firstLine="851"/>
              <w:jc w:val="center"/>
              <w:rPr>
                <w:sz w:val="28"/>
                <w:szCs w:val="28"/>
              </w:rPr>
            </w:pPr>
          </w:p>
          <w:p w:rsidR="00A3206B" w:rsidRDefault="00A3206B" w:rsidP="004B7811">
            <w:pPr>
              <w:ind w:right="-45"/>
              <w:jc w:val="center"/>
              <w:rPr>
                <w:sz w:val="28"/>
                <w:szCs w:val="28"/>
              </w:rPr>
            </w:pPr>
          </w:p>
          <w:p w:rsidR="00A3206B" w:rsidRPr="002E34B9" w:rsidRDefault="00A3206B" w:rsidP="004B7811">
            <w:pPr>
              <w:ind w:right="-45"/>
              <w:jc w:val="center"/>
              <w:rPr>
                <w:sz w:val="28"/>
                <w:szCs w:val="28"/>
              </w:rPr>
            </w:pPr>
            <w:r w:rsidRPr="00BE08BD">
              <w:rPr>
                <w:sz w:val="28"/>
                <w:szCs w:val="28"/>
              </w:rPr>
              <w:t>9800</w:t>
            </w:r>
          </w:p>
          <w:p w:rsidR="00A3206B" w:rsidRPr="002E34B9" w:rsidRDefault="00A3206B" w:rsidP="004B7811">
            <w:pPr>
              <w:ind w:right="-45"/>
              <w:jc w:val="center"/>
              <w:rPr>
                <w:sz w:val="28"/>
                <w:szCs w:val="28"/>
              </w:rPr>
            </w:pPr>
            <w:r w:rsidRPr="002E34B9">
              <w:rPr>
                <w:sz w:val="28"/>
                <w:szCs w:val="28"/>
              </w:rPr>
              <w:t>рублей</w:t>
            </w:r>
          </w:p>
        </w:tc>
      </w:tr>
    </w:tbl>
    <w:p w:rsidR="00A3206B" w:rsidRDefault="00A3206B" w:rsidP="00A3206B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Подпункт</w:t>
      </w:r>
      <w:r w:rsidR="0085415D">
        <w:rPr>
          <w:sz w:val="28"/>
          <w:szCs w:val="28"/>
        </w:rPr>
        <w:t>ы 2.3.8.1,</w:t>
      </w:r>
      <w:r>
        <w:rPr>
          <w:sz w:val="28"/>
          <w:szCs w:val="28"/>
        </w:rPr>
        <w:t xml:space="preserve"> 2.3.8.2 пункта 2.3 раздела 2 изложить в следующей редакции:</w:t>
      </w:r>
    </w:p>
    <w:p w:rsidR="0085415D" w:rsidRDefault="00A3206B" w:rsidP="008541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415D" w:rsidRPr="00654E6A">
        <w:rPr>
          <w:sz w:val="28"/>
          <w:szCs w:val="28"/>
        </w:rPr>
        <w:t>2.3.8.1. Выплата за стаж непрерывной работы устанавливается работникам в зависимости от непрерывного стажа работы.</w:t>
      </w:r>
    </w:p>
    <w:tbl>
      <w:tblPr>
        <w:tblOverlap w:val="never"/>
        <w:tblW w:w="9563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55"/>
        <w:gridCol w:w="3808"/>
      </w:tblGrid>
      <w:tr w:rsidR="0085415D" w:rsidRPr="00654E6A" w:rsidTr="00016158">
        <w:trPr>
          <w:trHeight w:hRule="exact" w:val="487"/>
          <w:jc w:val="center"/>
        </w:trPr>
        <w:tc>
          <w:tcPr>
            <w:tcW w:w="5755" w:type="dxa"/>
            <w:shd w:val="clear" w:color="auto" w:fill="FFFFFF"/>
            <w:vAlign w:val="bottom"/>
          </w:tcPr>
          <w:p w:rsidR="0085415D" w:rsidRPr="00654E6A" w:rsidRDefault="0085415D" w:rsidP="0085415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6A">
              <w:rPr>
                <w:rFonts w:ascii="Times New Roman" w:hAnsi="Times New Roman" w:cs="Times New Roman"/>
                <w:sz w:val="28"/>
                <w:szCs w:val="28"/>
              </w:rPr>
              <w:tab/>
              <w:t>Стаж непрерывной работы</w:t>
            </w:r>
          </w:p>
        </w:tc>
        <w:tc>
          <w:tcPr>
            <w:tcW w:w="3808" w:type="dxa"/>
            <w:shd w:val="clear" w:color="auto" w:fill="FFFFFF"/>
            <w:vAlign w:val="bottom"/>
          </w:tcPr>
          <w:p w:rsidR="0085415D" w:rsidRPr="00654E6A" w:rsidRDefault="0085415D" w:rsidP="0085415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6A">
              <w:rPr>
                <w:rFonts w:ascii="Times New Roman" w:hAnsi="Times New Roman" w:cs="Times New Roman"/>
                <w:sz w:val="28"/>
                <w:szCs w:val="28"/>
              </w:rPr>
              <w:t>Надбавка (в процентах)</w:t>
            </w:r>
          </w:p>
        </w:tc>
      </w:tr>
      <w:tr w:rsidR="0085415D" w:rsidRPr="00654E6A" w:rsidTr="00016158">
        <w:trPr>
          <w:trHeight w:hRule="exact" w:val="437"/>
          <w:jc w:val="center"/>
        </w:trPr>
        <w:tc>
          <w:tcPr>
            <w:tcW w:w="5755" w:type="dxa"/>
            <w:shd w:val="clear" w:color="auto" w:fill="FFFFFF"/>
            <w:vAlign w:val="center"/>
          </w:tcPr>
          <w:p w:rsidR="0085415D" w:rsidRPr="00654E6A" w:rsidRDefault="0085415D" w:rsidP="0085415D">
            <w:pPr>
              <w:pStyle w:val="af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E6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808" w:type="dxa"/>
            <w:shd w:val="clear" w:color="auto" w:fill="FFFFFF"/>
            <w:vAlign w:val="center"/>
          </w:tcPr>
          <w:p w:rsidR="0085415D" w:rsidRPr="00654E6A" w:rsidRDefault="000033AA" w:rsidP="0085415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85415D" w:rsidRPr="00654E6A" w:rsidTr="00016158">
        <w:trPr>
          <w:trHeight w:hRule="exact" w:val="415"/>
          <w:jc w:val="center"/>
        </w:trPr>
        <w:tc>
          <w:tcPr>
            <w:tcW w:w="5755" w:type="dxa"/>
            <w:shd w:val="clear" w:color="auto" w:fill="FFFFFF"/>
            <w:vAlign w:val="center"/>
          </w:tcPr>
          <w:p w:rsidR="0085415D" w:rsidRPr="00654E6A" w:rsidRDefault="0085415D" w:rsidP="0085415D">
            <w:pPr>
              <w:pStyle w:val="af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E6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808" w:type="dxa"/>
            <w:shd w:val="clear" w:color="auto" w:fill="FFFFFF"/>
            <w:vAlign w:val="center"/>
          </w:tcPr>
          <w:p w:rsidR="0085415D" w:rsidRPr="00654E6A" w:rsidRDefault="000033AA" w:rsidP="0085415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85415D" w:rsidRPr="00654E6A" w:rsidTr="00016158">
        <w:trPr>
          <w:trHeight w:hRule="exact" w:val="420"/>
          <w:jc w:val="center"/>
        </w:trPr>
        <w:tc>
          <w:tcPr>
            <w:tcW w:w="5755" w:type="dxa"/>
            <w:shd w:val="clear" w:color="auto" w:fill="FFFFFF"/>
            <w:vAlign w:val="center"/>
          </w:tcPr>
          <w:p w:rsidR="0085415D" w:rsidRPr="00654E6A" w:rsidRDefault="0085415D" w:rsidP="0085415D">
            <w:pPr>
              <w:pStyle w:val="af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E6A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3808" w:type="dxa"/>
            <w:shd w:val="clear" w:color="auto" w:fill="FFFFFF"/>
            <w:vAlign w:val="center"/>
          </w:tcPr>
          <w:p w:rsidR="0085415D" w:rsidRPr="00654E6A" w:rsidRDefault="000033AA" w:rsidP="0085415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85415D" w:rsidRPr="00654E6A" w:rsidRDefault="0085415D" w:rsidP="0085415D">
      <w:pPr>
        <w:spacing w:line="360" w:lineRule="auto"/>
        <w:ind w:firstLine="851"/>
        <w:jc w:val="both"/>
        <w:rPr>
          <w:sz w:val="28"/>
          <w:szCs w:val="28"/>
        </w:rPr>
      </w:pPr>
      <w:r w:rsidRPr="00654E6A">
        <w:rPr>
          <w:sz w:val="28"/>
          <w:szCs w:val="28"/>
        </w:rPr>
        <w:t xml:space="preserve">Выплата за стаж непрерывной работы и ее увеличение устанавливается со дня достижения работником соответствующего стажа. Стаж работы определяется на основании трудовой книжки работника комиссией </w:t>
      </w:r>
      <w:r w:rsidRPr="00654E6A">
        <w:rPr>
          <w:sz w:val="28"/>
          <w:szCs w:val="28"/>
        </w:rPr>
        <w:lastRenderedPageBreak/>
        <w:t>организации. Стаж считается непрерывным, если со дня увольнения из организации образования до дня приема в организацию образования прошло не более трех месяцев.</w:t>
      </w:r>
    </w:p>
    <w:p w:rsidR="0085415D" w:rsidRPr="00654E6A" w:rsidRDefault="0085415D" w:rsidP="0085415D">
      <w:pPr>
        <w:spacing w:line="360" w:lineRule="auto"/>
        <w:ind w:firstLine="851"/>
        <w:jc w:val="both"/>
        <w:rPr>
          <w:sz w:val="28"/>
          <w:szCs w:val="28"/>
        </w:rPr>
      </w:pPr>
      <w:r w:rsidRPr="00654E6A">
        <w:rPr>
          <w:sz w:val="28"/>
          <w:szCs w:val="28"/>
        </w:rPr>
        <w:t>Выплата за стаж осуществляется согласно фактической нагрузке по занимаемой должности и фактически отработанному времени.</w:t>
      </w:r>
    </w:p>
    <w:p w:rsidR="0085415D" w:rsidRPr="00654E6A" w:rsidRDefault="0085415D" w:rsidP="0085415D">
      <w:pPr>
        <w:spacing w:line="360" w:lineRule="auto"/>
        <w:ind w:firstLine="851"/>
        <w:jc w:val="both"/>
        <w:rPr>
          <w:sz w:val="28"/>
          <w:szCs w:val="28"/>
        </w:rPr>
      </w:pPr>
      <w:r w:rsidRPr="00654E6A">
        <w:rPr>
          <w:sz w:val="28"/>
          <w:szCs w:val="28"/>
        </w:rPr>
        <w:t>В целях определения стажа работы в муниципальных образовательных учреждениях понятие «образовательное учреждение» используется в том значении, в каком оно определено Федеральным законом от 29.12.2012                       № 273-ФЗ «Об образовании в Российской Федерации».</w:t>
      </w:r>
    </w:p>
    <w:p w:rsidR="0085415D" w:rsidRPr="00654E6A" w:rsidRDefault="0085415D" w:rsidP="0085415D">
      <w:pPr>
        <w:spacing w:line="360" w:lineRule="auto"/>
        <w:ind w:firstLine="851"/>
        <w:jc w:val="both"/>
        <w:rPr>
          <w:sz w:val="28"/>
          <w:szCs w:val="28"/>
        </w:rPr>
      </w:pPr>
      <w:r w:rsidRPr="00654E6A">
        <w:rPr>
          <w:sz w:val="28"/>
          <w:szCs w:val="28"/>
        </w:rPr>
        <w:t>В целях определения стажа работы в муниципальных образовательных учреждениях под работой понимается период (периоды) работы в указанных учреждениях, осуществляемой на условиях трудового договора.</w:t>
      </w:r>
    </w:p>
    <w:p w:rsidR="0085415D" w:rsidRDefault="0085415D" w:rsidP="0085415D">
      <w:pPr>
        <w:spacing w:line="360" w:lineRule="auto"/>
        <w:ind w:firstLine="851"/>
        <w:jc w:val="both"/>
        <w:rPr>
          <w:sz w:val="28"/>
          <w:szCs w:val="28"/>
        </w:rPr>
      </w:pPr>
      <w:r w:rsidRPr="00654E6A">
        <w:rPr>
          <w:sz w:val="28"/>
          <w:szCs w:val="28"/>
        </w:rPr>
        <w:t>Для определения стажа работы в муниципальных образовательных учреждениях создаются комиссии по определению стажа работы в образовательных учреждениях. Состав указанных комиссий и порядок их работы утверждаются нормативными актами учреждений.</w:t>
      </w:r>
    </w:p>
    <w:p w:rsidR="00A3206B" w:rsidRDefault="00A3206B" w:rsidP="0085415D">
      <w:pPr>
        <w:spacing w:line="360" w:lineRule="auto"/>
        <w:ind w:right="-187" w:firstLine="720"/>
        <w:jc w:val="both"/>
        <w:rPr>
          <w:sz w:val="28"/>
          <w:szCs w:val="28"/>
        </w:rPr>
      </w:pPr>
      <w:r w:rsidRPr="00554040">
        <w:rPr>
          <w:sz w:val="28"/>
          <w:szCs w:val="28"/>
        </w:rPr>
        <w:t>2.3.8.</w:t>
      </w:r>
      <w:r>
        <w:rPr>
          <w:sz w:val="28"/>
          <w:szCs w:val="28"/>
        </w:rPr>
        <w:t>2</w:t>
      </w:r>
      <w:r w:rsidRPr="00554040">
        <w:rPr>
          <w:sz w:val="28"/>
          <w:szCs w:val="28"/>
        </w:rPr>
        <w:t xml:space="preserve">. Выплата за наличие квалификационной категории в организациях устанавливается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компетентности. Квалификационная категория присваивается решением уполномоченной аттестационной комиссии. Выплаты производятся со дня присвоения квалификационной категории. </w:t>
      </w:r>
    </w:p>
    <w:tbl>
      <w:tblPr>
        <w:tblOverlap w:val="never"/>
        <w:tblW w:w="0" w:type="auto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95"/>
        <w:gridCol w:w="4975"/>
      </w:tblGrid>
      <w:tr w:rsidR="00A3206B" w:rsidRPr="00654E6A" w:rsidTr="004B7811">
        <w:trPr>
          <w:trHeight w:hRule="exact" w:val="450"/>
          <w:jc w:val="center"/>
        </w:trPr>
        <w:tc>
          <w:tcPr>
            <w:tcW w:w="9570" w:type="dxa"/>
            <w:gridSpan w:val="2"/>
            <w:shd w:val="clear" w:color="auto" w:fill="FFFFFF"/>
            <w:vAlign w:val="center"/>
          </w:tcPr>
          <w:p w:rsidR="00A3206B" w:rsidRPr="00654E6A" w:rsidRDefault="00A3206B" w:rsidP="00B96ACB">
            <w:pPr>
              <w:pStyle w:val="af2"/>
              <w:ind w:right="-18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Педагогическим работникам</w:t>
            </w:r>
          </w:p>
        </w:tc>
      </w:tr>
      <w:tr w:rsidR="00A3206B" w:rsidRPr="00654E6A" w:rsidTr="004B7811">
        <w:trPr>
          <w:trHeight w:hRule="exact" w:val="1278"/>
          <w:jc w:val="center"/>
        </w:trPr>
        <w:tc>
          <w:tcPr>
            <w:tcW w:w="4595" w:type="dxa"/>
            <w:shd w:val="clear" w:color="auto" w:fill="FFFFFF"/>
            <w:vAlign w:val="center"/>
          </w:tcPr>
          <w:p w:rsidR="00A3206B" w:rsidRPr="00654E6A" w:rsidRDefault="00A3206B" w:rsidP="00B96ACB">
            <w:pPr>
              <w:pStyle w:val="af2"/>
              <w:ind w:right="-187"/>
              <w:jc w:val="center"/>
              <w:rPr>
                <w:rFonts w:ascii="Times New Roman" w:hAnsi="Times New Roman" w:cs="Times New Roman"/>
                <w:sz w:val="28"/>
              </w:rPr>
            </w:pPr>
            <w:r w:rsidRPr="00654E6A">
              <w:rPr>
                <w:rFonts w:ascii="Times New Roman" w:hAnsi="Times New Roman" w:cs="Times New Roman"/>
                <w:sz w:val="28"/>
              </w:rPr>
              <w:t>Квалификационная категория</w:t>
            </w:r>
          </w:p>
        </w:tc>
        <w:tc>
          <w:tcPr>
            <w:tcW w:w="4975" w:type="dxa"/>
            <w:shd w:val="clear" w:color="auto" w:fill="FFFFFF"/>
            <w:vAlign w:val="center"/>
          </w:tcPr>
          <w:p w:rsidR="00A3206B" w:rsidRPr="00654E6A" w:rsidRDefault="00A3206B" w:rsidP="00B96ACB">
            <w:pPr>
              <w:pStyle w:val="af2"/>
              <w:ind w:right="-187"/>
              <w:jc w:val="center"/>
              <w:rPr>
                <w:rFonts w:ascii="Times New Roman" w:hAnsi="Times New Roman" w:cs="Times New Roman"/>
                <w:sz w:val="28"/>
              </w:rPr>
            </w:pPr>
            <w:r w:rsidRPr="00654E6A">
              <w:rPr>
                <w:rFonts w:ascii="Times New Roman" w:hAnsi="Times New Roman" w:cs="Times New Roman"/>
                <w:sz w:val="28"/>
              </w:rPr>
              <w:t xml:space="preserve">Рекомендуемый </w:t>
            </w:r>
            <w:r>
              <w:rPr>
                <w:rFonts w:ascii="Times New Roman" w:hAnsi="Times New Roman" w:cs="Times New Roman"/>
                <w:sz w:val="28"/>
              </w:rPr>
              <w:t>размер выплаты в коэффициентах или процентах</w:t>
            </w:r>
            <w:r w:rsidRPr="00654E6A">
              <w:rPr>
                <w:rFonts w:ascii="Times New Roman" w:hAnsi="Times New Roman" w:cs="Times New Roman"/>
                <w:sz w:val="28"/>
              </w:rPr>
              <w:t xml:space="preserve"> от оклада </w:t>
            </w:r>
            <w:r>
              <w:rPr>
                <w:rFonts w:ascii="Times New Roman" w:hAnsi="Times New Roman" w:cs="Times New Roman"/>
                <w:sz w:val="28"/>
              </w:rPr>
              <w:t xml:space="preserve">(должностного оклада), </w:t>
            </w:r>
            <w:r w:rsidRPr="00654E6A">
              <w:rPr>
                <w:rFonts w:ascii="Times New Roman" w:hAnsi="Times New Roman" w:cs="Times New Roman"/>
                <w:sz w:val="28"/>
              </w:rPr>
              <w:t>ставки заработной платы</w:t>
            </w:r>
          </w:p>
        </w:tc>
      </w:tr>
      <w:tr w:rsidR="00A3206B" w:rsidRPr="00654E6A" w:rsidTr="004B7811">
        <w:trPr>
          <w:trHeight w:hRule="exact" w:val="432"/>
          <w:jc w:val="center"/>
        </w:trPr>
        <w:tc>
          <w:tcPr>
            <w:tcW w:w="4595" w:type="dxa"/>
            <w:shd w:val="clear" w:color="auto" w:fill="FFFFFF"/>
            <w:vAlign w:val="center"/>
          </w:tcPr>
          <w:p w:rsidR="00A3206B" w:rsidRPr="00654E6A" w:rsidRDefault="00A3206B" w:rsidP="00B96ACB">
            <w:pPr>
              <w:pStyle w:val="af2"/>
              <w:ind w:right="-187"/>
              <w:rPr>
                <w:rFonts w:ascii="Times New Roman" w:hAnsi="Times New Roman" w:cs="Times New Roman"/>
                <w:sz w:val="28"/>
              </w:rPr>
            </w:pPr>
            <w:r w:rsidRPr="00654E6A">
              <w:rPr>
                <w:rFonts w:ascii="Times New Roman" w:hAnsi="Times New Roman" w:cs="Times New Roman"/>
                <w:sz w:val="28"/>
              </w:rPr>
              <w:t>Соответствие должности</w:t>
            </w:r>
          </w:p>
        </w:tc>
        <w:tc>
          <w:tcPr>
            <w:tcW w:w="4975" w:type="dxa"/>
            <w:shd w:val="clear" w:color="auto" w:fill="FFFFFF"/>
            <w:vAlign w:val="bottom"/>
          </w:tcPr>
          <w:p w:rsidR="00A3206B" w:rsidRPr="00654E6A" w:rsidRDefault="00A3206B" w:rsidP="00B96ACB">
            <w:pPr>
              <w:pStyle w:val="af2"/>
              <w:ind w:right="-18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3206B" w:rsidRPr="00654E6A" w:rsidTr="004B7811">
        <w:trPr>
          <w:trHeight w:hRule="exact" w:val="598"/>
          <w:jc w:val="center"/>
        </w:trPr>
        <w:tc>
          <w:tcPr>
            <w:tcW w:w="4595" w:type="dxa"/>
            <w:shd w:val="clear" w:color="auto" w:fill="FFFFFF"/>
            <w:vAlign w:val="center"/>
          </w:tcPr>
          <w:p w:rsidR="00A3206B" w:rsidRPr="00654E6A" w:rsidRDefault="00A3206B" w:rsidP="00B96ACB">
            <w:pPr>
              <w:pStyle w:val="af2"/>
              <w:ind w:right="-187"/>
              <w:rPr>
                <w:rFonts w:ascii="Times New Roman" w:hAnsi="Times New Roman" w:cs="Times New Roman"/>
                <w:sz w:val="28"/>
              </w:rPr>
            </w:pPr>
            <w:r w:rsidRPr="00654E6A">
              <w:rPr>
                <w:rFonts w:ascii="Times New Roman" w:hAnsi="Times New Roman" w:cs="Times New Roman"/>
                <w:sz w:val="28"/>
              </w:rPr>
              <w:t>Первая квалификационная категория</w:t>
            </w:r>
          </w:p>
        </w:tc>
        <w:tc>
          <w:tcPr>
            <w:tcW w:w="4975" w:type="dxa"/>
            <w:shd w:val="clear" w:color="auto" w:fill="FFFFFF"/>
          </w:tcPr>
          <w:p w:rsidR="00A3206B" w:rsidRPr="00654E6A" w:rsidRDefault="00A3206B" w:rsidP="00B96ACB">
            <w:pPr>
              <w:pStyle w:val="af2"/>
              <w:ind w:right="-18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0,1 (10%)</w:t>
            </w:r>
          </w:p>
        </w:tc>
      </w:tr>
      <w:tr w:rsidR="00A3206B" w:rsidRPr="00654E6A" w:rsidTr="004B7811">
        <w:trPr>
          <w:trHeight w:hRule="exact" w:val="565"/>
          <w:jc w:val="center"/>
        </w:trPr>
        <w:tc>
          <w:tcPr>
            <w:tcW w:w="4595" w:type="dxa"/>
            <w:shd w:val="clear" w:color="auto" w:fill="FFFFFF"/>
            <w:vAlign w:val="center"/>
          </w:tcPr>
          <w:p w:rsidR="00A3206B" w:rsidRPr="00654E6A" w:rsidRDefault="00A3206B" w:rsidP="00B96ACB">
            <w:pPr>
              <w:pStyle w:val="af2"/>
              <w:ind w:right="-187"/>
              <w:rPr>
                <w:rFonts w:ascii="Times New Roman" w:hAnsi="Times New Roman" w:cs="Times New Roman"/>
                <w:sz w:val="28"/>
              </w:rPr>
            </w:pPr>
            <w:r w:rsidRPr="00654E6A">
              <w:rPr>
                <w:rFonts w:ascii="Times New Roman" w:hAnsi="Times New Roman" w:cs="Times New Roman"/>
                <w:sz w:val="28"/>
              </w:rPr>
              <w:t>Высшая квалификационная категория</w:t>
            </w:r>
          </w:p>
        </w:tc>
        <w:tc>
          <w:tcPr>
            <w:tcW w:w="4975" w:type="dxa"/>
            <w:shd w:val="clear" w:color="auto" w:fill="FFFFFF"/>
          </w:tcPr>
          <w:p w:rsidR="00A3206B" w:rsidRPr="00654E6A" w:rsidRDefault="00A3206B" w:rsidP="00B96ACB">
            <w:pPr>
              <w:pStyle w:val="af2"/>
              <w:ind w:right="-18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0,2 (20%)</w:t>
            </w:r>
          </w:p>
        </w:tc>
      </w:tr>
    </w:tbl>
    <w:p w:rsidR="00A3206B" w:rsidRPr="00554040" w:rsidRDefault="00A3206B" w:rsidP="00A3206B">
      <w:pPr>
        <w:spacing w:line="360" w:lineRule="auto"/>
        <w:ind w:right="-187" w:firstLine="851"/>
        <w:jc w:val="both"/>
        <w:rPr>
          <w:sz w:val="28"/>
          <w:szCs w:val="28"/>
        </w:rPr>
      </w:pPr>
      <w:r w:rsidRPr="00554040">
        <w:rPr>
          <w:sz w:val="28"/>
          <w:szCs w:val="28"/>
        </w:rPr>
        <w:lastRenderedPageBreak/>
        <w:t>Выплата за наличие квалификационной категории осуществляется согласно фактической нагрузке по занимаемой ставке и фактически отработанному времени на должности, по которой установлена квалификационная категория.</w:t>
      </w:r>
    </w:p>
    <w:p w:rsidR="00A3206B" w:rsidRDefault="00A3206B" w:rsidP="00A3206B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Подпункт 2.3.8.4 пункта 2.3 раздела 2</w:t>
      </w:r>
      <w:r w:rsidR="001605B8">
        <w:rPr>
          <w:sz w:val="28"/>
          <w:szCs w:val="28"/>
        </w:rPr>
        <w:t xml:space="preserve"> «Порядок и условия оплаты труда»</w:t>
      </w:r>
      <w:r>
        <w:rPr>
          <w:sz w:val="28"/>
          <w:szCs w:val="28"/>
        </w:rPr>
        <w:t xml:space="preserve"> исключить.</w:t>
      </w:r>
    </w:p>
    <w:p w:rsidR="001605B8" w:rsidRDefault="001605B8" w:rsidP="00A3206B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подпункте 2.3.9.1 пункта 2.3 раздела 2 «Порядок и условия оплаты труда» абзац 7 исключить.</w:t>
      </w:r>
    </w:p>
    <w:p w:rsidR="00B96ACB" w:rsidRDefault="001605B8" w:rsidP="00A3206B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B96ACB">
        <w:rPr>
          <w:sz w:val="28"/>
          <w:szCs w:val="28"/>
        </w:rPr>
        <w:t>. Пункт 4.24 раздела 4 «Другие вопросы оплаты труда» изложить в следующей редакции:</w:t>
      </w:r>
    </w:p>
    <w:p w:rsidR="00B96ACB" w:rsidRDefault="00B96ACB" w:rsidP="00B96A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«4.24.</w:t>
      </w:r>
      <w:r w:rsidRPr="00554040">
        <w:rPr>
          <w:sz w:val="28"/>
          <w:szCs w:val="28"/>
        </w:rPr>
        <w:t xml:space="preserve"> Работникам, выполняющим преподавательскую работу в объеме больше или меньше нормы часов преподавательской работы, определенной Правительством Российской Федерации (уполномоченным органом) за ставку заработной платы, выплаты компенсационного </w:t>
      </w:r>
      <w:r>
        <w:rPr>
          <w:sz w:val="28"/>
          <w:szCs w:val="28"/>
        </w:rPr>
        <w:t>и стимулирующего характера устанавливаются: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0"/>
        <w:gridCol w:w="4838"/>
      </w:tblGrid>
      <w:tr w:rsidR="00B96ACB" w:rsidTr="00B96ACB">
        <w:tc>
          <w:tcPr>
            <w:tcW w:w="4928" w:type="dxa"/>
          </w:tcPr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Выплаты от оклада</w:t>
            </w:r>
          </w:p>
        </w:tc>
        <w:tc>
          <w:tcPr>
            <w:tcW w:w="4929" w:type="dxa"/>
          </w:tcPr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Выплаты пропорционально нагрузке</w:t>
            </w:r>
          </w:p>
        </w:tc>
      </w:tr>
      <w:tr w:rsidR="00B96ACB" w:rsidTr="00B96ACB">
        <w:tc>
          <w:tcPr>
            <w:tcW w:w="4928" w:type="dxa"/>
          </w:tcPr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1. выплата за наличие ученой степени, почетного звания;</w:t>
            </w:r>
          </w:p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2. персональный повышающий коэффициент к окладу;</w:t>
            </w:r>
          </w:p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3. выплаты педагогическим работникам при выполнении работы, связанной с сопровождением образовательного процесса и не входящей в должностные обязанности (проверка тетрадей, работ теоретического цикла, классное руководство, заведование кабинетом, работа с сайтом);</w:t>
            </w:r>
          </w:p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4. совмещение</w:t>
            </w:r>
          </w:p>
        </w:tc>
        <w:tc>
          <w:tcPr>
            <w:tcW w:w="4929" w:type="dxa"/>
          </w:tcPr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1. выплаты работникам, занятым на работах с вредными и (или) опасными условиями труда;</w:t>
            </w:r>
          </w:p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2. выплата за педагогический стаж;</w:t>
            </w:r>
          </w:p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3. выплата за наличие квалификационной категории;</w:t>
            </w:r>
          </w:p>
          <w:p w:rsidR="00B96ACB" w:rsidRPr="00B96ACB" w:rsidRDefault="00B96ACB" w:rsidP="00B96ACB">
            <w:pPr>
              <w:jc w:val="both"/>
              <w:rPr>
                <w:sz w:val="28"/>
                <w:szCs w:val="28"/>
              </w:rPr>
            </w:pPr>
            <w:r w:rsidRPr="00B96ACB">
              <w:rPr>
                <w:sz w:val="28"/>
                <w:szCs w:val="28"/>
              </w:rPr>
              <w:t>4. выплата за интенсивность и качество выполняемой работы.</w:t>
            </w:r>
          </w:p>
        </w:tc>
      </w:tr>
    </w:tbl>
    <w:p w:rsidR="00345B1E" w:rsidRDefault="005A3DC9" w:rsidP="005A3DC9">
      <w:pPr>
        <w:ind w:right="-187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345B1E" w:rsidSect="007221AE">
      <w:pgSz w:w="11906" w:h="16838"/>
      <w:pgMar w:top="993" w:right="849" w:bottom="851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E4" w:rsidRDefault="00AA3DE4">
      <w:r>
        <w:separator/>
      </w:r>
    </w:p>
  </w:endnote>
  <w:endnote w:type="continuationSeparator" w:id="1">
    <w:p w:rsidR="00AA3DE4" w:rsidRDefault="00AA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E4" w:rsidRDefault="00AA3DE4">
      <w:r>
        <w:separator/>
      </w:r>
    </w:p>
  </w:footnote>
  <w:footnote w:type="continuationSeparator" w:id="1">
    <w:p w:rsidR="00AA3DE4" w:rsidRDefault="00AA3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8359B6">
    <w:pPr>
      <w:pStyle w:val="a8"/>
      <w:jc w:val="center"/>
    </w:pPr>
    <w:fldSimple w:instr=" PAGE   \* MERGEFORMAT ">
      <w:r w:rsidR="000856BF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033AA"/>
    <w:rsid w:val="00016158"/>
    <w:rsid w:val="00022D17"/>
    <w:rsid w:val="00025B45"/>
    <w:rsid w:val="000305BD"/>
    <w:rsid w:val="00036950"/>
    <w:rsid w:val="000673B1"/>
    <w:rsid w:val="000712EB"/>
    <w:rsid w:val="000856BF"/>
    <w:rsid w:val="000930F9"/>
    <w:rsid w:val="000C176B"/>
    <w:rsid w:val="000E4F93"/>
    <w:rsid w:val="00100C41"/>
    <w:rsid w:val="00120E68"/>
    <w:rsid w:val="001250E7"/>
    <w:rsid w:val="001605B8"/>
    <w:rsid w:val="0018017B"/>
    <w:rsid w:val="00183568"/>
    <w:rsid w:val="001B3626"/>
    <w:rsid w:val="00226054"/>
    <w:rsid w:val="00281114"/>
    <w:rsid w:val="002A2DEF"/>
    <w:rsid w:val="002B1F7C"/>
    <w:rsid w:val="002C5585"/>
    <w:rsid w:val="002D03F1"/>
    <w:rsid w:val="002E3DC9"/>
    <w:rsid w:val="002F639F"/>
    <w:rsid w:val="002F69DB"/>
    <w:rsid w:val="003142DB"/>
    <w:rsid w:val="00345B1E"/>
    <w:rsid w:val="00377341"/>
    <w:rsid w:val="003F70D9"/>
    <w:rsid w:val="004500C8"/>
    <w:rsid w:val="0045052A"/>
    <w:rsid w:val="00452689"/>
    <w:rsid w:val="00474CC1"/>
    <w:rsid w:val="00490D5E"/>
    <w:rsid w:val="004B7811"/>
    <w:rsid w:val="004D3D2F"/>
    <w:rsid w:val="004E3FC3"/>
    <w:rsid w:val="005235D3"/>
    <w:rsid w:val="00530DC6"/>
    <w:rsid w:val="005748B4"/>
    <w:rsid w:val="005864F3"/>
    <w:rsid w:val="00596827"/>
    <w:rsid w:val="005A3DC9"/>
    <w:rsid w:val="005A3F5D"/>
    <w:rsid w:val="005B03F7"/>
    <w:rsid w:val="005C0BB8"/>
    <w:rsid w:val="005D7BCF"/>
    <w:rsid w:val="005E5266"/>
    <w:rsid w:val="00607C04"/>
    <w:rsid w:val="0061315E"/>
    <w:rsid w:val="00644C1E"/>
    <w:rsid w:val="00653EAC"/>
    <w:rsid w:val="00662BD7"/>
    <w:rsid w:val="006826AB"/>
    <w:rsid w:val="00690EC3"/>
    <w:rsid w:val="006B724B"/>
    <w:rsid w:val="006E3018"/>
    <w:rsid w:val="006F39A4"/>
    <w:rsid w:val="00717CC3"/>
    <w:rsid w:val="007221AE"/>
    <w:rsid w:val="00750FAE"/>
    <w:rsid w:val="00785DFA"/>
    <w:rsid w:val="00790097"/>
    <w:rsid w:val="00795D01"/>
    <w:rsid w:val="007B3F58"/>
    <w:rsid w:val="007B721C"/>
    <w:rsid w:val="007E0BA8"/>
    <w:rsid w:val="007E54D2"/>
    <w:rsid w:val="007E56E6"/>
    <w:rsid w:val="00804835"/>
    <w:rsid w:val="008140AA"/>
    <w:rsid w:val="008359B6"/>
    <w:rsid w:val="00843EBE"/>
    <w:rsid w:val="00845814"/>
    <w:rsid w:val="0085415D"/>
    <w:rsid w:val="008643AC"/>
    <w:rsid w:val="00866C37"/>
    <w:rsid w:val="008907A6"/>
    <w:rsid w:val="008D433A"/>
    <w:rsid w:val="008F441E"/>
    <w:rsid w:val="008F5B9C"/>
    <w:rsid w:val="00913CBA"/>
    <w:rsid w:val="00936179"/>
    <w:rsid w:val="00985B00"/>
    <w:rsid w:val="00994F45"/>
    <w:rsid w:val="009B10C3"/>
    <w:rsid w:val="009D3A0E"/>
    <w:rsid w:val="009E491F"/>
    <w:rsid w:val="009E50B0"/>
    <w:rsid w:val="009F2986"/>
    <w:rsid w:val="009F3BEB"/>
    <w:rsid w:val="00A05AE5"/>
    <w:rsid w:val="00A3206B"/>
    <w:rsid w:val="00A548F9"/>
    <w:rsid w:val="00AA3DE4"/>
    <w:rsid w:val="00AC6ED0"/>
    <w:rsid w:val="00AD1706"/>
    <w:rsid w:val="00B87FBB"/>
    <w:rsid w:val="00B96ACB"/>
    <w:rsid w:val="00BB49D0"/>
    <w:rsid w:val="00BB5E62"/>
    <w:rsid w:val="00C047EA"/>
    <w:rsid w:val="00C07EB0"/>
    <w:rsid w:val="00C228D3"/>
    <w:rsid w:val="00C40506"/>
    <w:rsid w:val="00C71C13"/>
    <w:rsid w:val="00C83AFD"/>
    <w:rsid w:val="00D138BA"/>
    <w:rsid w:val="00D430A0"/>
    <w:rsid w:val="00D4481E"/>
    <w:rsid w:val="00D904C0"/>
    <w:rsid w:val="00DB587E"/>
    <w:rsid w:val="00DC271A"/>
    <w:rsid w:val="00DC3397"/>
    <w:rsid w:val="00DC7C4C"/>
    <w:rsid w:val="00DE5EB9"/>
    <w:rsid w:val="00E17601"/>
    <w:rsid w:val="00E21FA3"/>
    <w:rsid w:val="00E22B47"/>
    <w:rsid w:val="00E34621"/>
    <w:rsid w:val="00E668E4"/>
    <w:rsid w:val="00E92208"/>
    <w:rsid w:val="00EC1276"/>
    <w:rsid w:val="00EC3F73"/>
    <w:rsid w:val="00EC7D22"/>
    <w:rsid w:val="00ED1647"/>
    <w:rsid w:val="00ED2313"/>
    <w:rsid w:val="00EE0E65"/>
    <w:rsid w:val="00F12D2C"/>
    <w:rsid w:val="00F134F5"/>
    <w:rsid w:val="00F17F40"/>
    <w:rsid w:val="00F264C5"/>
    <w:rsid w:val="00F33327"/>
    <w:rsid w:val="00F43220"/>
    <w:rsid w:val="00F93824"/>
    <w:rsid w:val="00F9547E"/>
    <w:rsid w:val="00FB2492"/>
    <w:rsid w:val="00FE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359B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359B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359B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59B6"/>
  </w:style>
  <w:style w:type="character" w:customStyle="1" w:styleId="WW8Num1z1">
    <w:name w:val="WW8Num1z1"/>
    <w:rsid w:val="008359B6"/>
  </w:style>
  <w:style w:type="character" w:customStyle="1" w:styleId="WW8Num1z2">
    <w:name w:val="WW8Num1z2"/>
    <w:rsid w:val="008359B6"/>
  </w:style>
  <w:style w:type="character" w:customStyle="1" w:styleId="WW8Num1z3">
    <w:name w:val="WW8Num1z3"/>
    <w:rsid w:val="008359B6"/>
  </w:style>
  <w:style w:type="character" w:customStyle="1" w:styleId="WW8Num1z4">
    <w:name w:val="WW8Num1z4"/>
    <w:rsid w:val="008359B6"/>
  </w:style>
  <w:style w:type="character" w:customStyle="1" w:styleId="WW8Num1z5">
    <w:name w:val="WW8Num1z5"/>
    <w:rsid w:val="008359B6"/>
  </w:style>
  <w:style w:type="character" w:customStyle="1" w:styleId="WW8Num1z6">
    <w:name w:val="WW8Num1z6"/>
    <w:rsid w:val="008359B6"/>
  </w:style>
  <w:style w:type="character" w:customStyle="1" w:styleId="WW8Num1z7">
    <w:name w:val="WW8Num1z7"/>
    <w:rsid w:val="008359B6"/>
  </w:style>
  <w:style w:type="character" w:customStyle="1" w:styleId="WW8Num1z8">
    <w:name w:val="WW8Num1z8"/>
    <w:rsid w:val="008359B6"/>
  </w:style>
  <w:style w:type="character" w:customStyle="1" w:styleId="WW8Num2z0">
    <w:name w:val="WW8Num2z0"/>
    <w:rsid w:val="008359B6"/>
  </w:style>
  <w:style w:type="character" w:customStyle="1" w:styleId="WW8Num2z1">
    <w:name w:val="WW8Num2z1"/>
    <w:rsid w:val="008359B6"/>
  </w:style>
  <w:style w:type="character" w:customStyle="1" w:styleId="WW8Num2z2">
    <w:name w:val="WW8Num2z2"/>
    <w:rsid w:val="008359B6"/>
  </w:style>
  <w:style w:type="character" w:customStyle="1" w:styleId="WW8Num2z3">
    <w:name w:val="WW8Num2z3"/>
    <w:rsid w:val="008359B6"/>
  </w:style>
  <w:style w:type="character" w:customStyle="1" w:styleId="WW8Num2z4">
    <w:name w:val="WW8Num2z4"/>
    <w:rsid w:val="008359B6"/>
  </w:style>
  <w:style w:type="character" w:customStyle="1" w:styleId="WW8Num2z5">
    <w:name w:val="WW8Num2z5"/>
    <w:rsid w:val="008359B6"/>
  </w:style>
  <w:style w:type="character" w:customStyle="1" w:styleId="WW8Num2z6">
    <w:name w:val="WW8Num2z6"/>
    <w:rsid w:val="008359B6"/>
  </w:style>
  <w:style w:type="character" w:customStyle="1" w:styleId="WW8Num2z7">
    <w:name w:val="WW8Num2z7"/>
    <w:rsid w:val="008359B6"/>
  </w:style>
  <w:style w:type="character" w:customStyle="1" w:styleId="WW8Num2z8">
    <w:name w:val="WW8Num2z8"/>
    <w:rsid w:val="008359B6"/>
  </w:style>
  <w:style w:type="character" w:customStyle="1" w:styleId="WW8Num3z0">
    <w:name w:val="WW8Num3z0"/>
    <w:rsid w:val="008359B6"/>
  </w:style>
  <w:style w:type="character" w:customStyle="1" w:styleId="WW8Num3z1">
    <w:name w:val="WW8Num3z1"/>
    <w:rsid w:val="008359B6"/>
  </w:style>
  <w:style w:type="character" w:customStyle="1" w:styleId="WW8Num3z2">
    <w:name w:val="WW8Num3z2"/>
    <w:rsid w:val="008359B6"/>
  </w:style>
  <w:style w:type="character" w:customStyle="1" w:styleId="WW8Num3z3">
    <w:name w:val="WW8Num3z3"/>
    <w:rsid w:val="008359B6"/>
  </w:style>
  <w:style w:type="character" w:customStyle="1" w:styleId="WW8Num3z4">
    <w:name w:val="WW8Num3z4"/>
    <w:rsid w:val="008359B6"/>
  </w:style>
  <w:style w:type="character" w:customStyle="1" w:styleId="WW8Num3z5">
    <w:name w:val="WW8Num3z5"/>
    <w:rsid w:val="008359B6"/>
  </w:style>
  <w:style w:type="character" w:customStyle="1" w:styleId="WW8Num3z6">
    <w:name w:val="WW8Num3z6"/>
    <w:rsid w:val="008359B6"/>
  </w:style>
  <w:style w:type="character" w:customStyle="1" w:styleId="WW8Num3z7">
    <w:name w:val="WW8Num3z7"/>
    <w:rsid w:val="008359B6"/>
  </w:style>
  <w:style w:type="character" w:customStyle="1" w:styleId="WW8Num3z8">
    <w:name w:val="WW8Num3z8"/>
    <w:rsid w:val="008359B6"/>
  </w:style>
  <w:style w:type="character" w:customStyle="1" w:styleId="4">
    <w:name w:val="Основной шрифт абзаца4"/>
    <w:rsid w:val="008359B6"/>
  </w:style>
  <w:style w:type="character" w:customStyle="1" w:styleId="3">
    <w:name w:val="Основной шрифт абзаца3"/>
    <w:rsid w:val="008359B6"/>
  </w:style>
  <w:style w:type="character" w:customStyle="1" w:styleId="20">
    <w:name w:val="Основной шрифт абзаца2"/>
    <w:rsid w:val="008359B6"/>
  </w:style>
  <w:style w:type="character" w:customStyle="1" w:styleId="Absatz-Standardschriftart">
    <w:name w:val="Absatz-Standardschriftart"/>
    <w:rsid w:val="008359B6"/>
  </w:style>
  <w:style w:type="character" w:customStyle="1" w:styleId="WW-Absatz-Standardschriftart">
    <w:name w:val="WW-Absatz-Standardschriftart"/>
    <w:rsid w:val="008359B6"/>
  </w:style>
  <w:style w:type="character" w:customStyle="1" w:styleId="WW-Absatz-Standardschriftart1">
    <w:name w:val="WW-Absatz-Standardschriftart1"/>
    <w:rsid w:val="008359B6"/>
  </w:style>
  <w:style w:type="character" w:customStyle="1" w:styleId="WW-Absatz-Standardschriftart11">
    <w:name w:val="WW-Absatz-Standardschriftart11"/>
    <w:rsid w:val="008359B6"/>
  </w:style>
  <w:style w:type="character" w:customStyle="1" w:styleId="WW-Absatz-Standardschriftart111">
    <w:name w:val="WW-Absatz-Standardschriftart111"/>
    <w:rsid w:val="008359B6"/>
  </w:style>
  <w:style w:type="character" w:customStyle="1" w:styleId="WW-Absatz-Standardschriftart1111">
    <w:name w:val="WW-Absatz-Standardschriftart1111"/>
    <w:rsid w:val="008359B6"/>
  </w:style>
  <w:style w:type="character" w:customStyle="1" w:styleId="10">
    <w:name w:val="Основной шрифт абзаца1"/>
    <w:rsid w:val="008359B6"/>
  </w:style>
  <w:style w:type="character" w:styleId="a3">
    <w:name w:val="page number"/>
    <w:basedOn w:val="10"/>
    <w:rsid w:val="008359B6"/>
  </w:style>
  <w:style w:type="character" w:customStyle="1" w:styleId="21">
    <w:name w:val="Заголовок 2 Знак"/>
    <w:basedOn w:val="10"/>
    <w:rsid w:val="008359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8359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8359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8359B6"/>
    <w:pPr>
      <w:spacing w:after="120"/>
    </w:pPr>
  </w:style>
  <w:style w:type="paragraph" w:styleId="a6">
    <w:name w:val="List"/>
    <w:basedOn w:val="a5"/>
    <w:rsid w:val="008359B6"/>
    <w:rPr>
      <w:rFonts w:cs="Tahoma"/>
      <w:sz w:val="20"/>
    </w:rPr>
  </w:style>
  <w:style w:type="paragraph" w:styleId="a7">
    <w:name w:val="caption"/>
    <w:basedOn w:val="a"/>
    <w:qFormat/>
    <w:rsid w:val="008359B6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359B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359B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8359B6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8359B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359B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359B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8359B6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8359B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8359B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8359B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8359B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8359B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8359B6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8359B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8359B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8359B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8359B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8359B6"/>
    <w:pPr>
      <w:suppressLineNumbers/>
    </w:pPr>
  </w:style>
  <w:style w:type="paragraph" w:customStyle="1" w:styleId="ad">
    <w:name w:val="Заголовок таблицы"/>
    <w:basedOn w:val="ac"/>
    <w:rsid w:val="008359B6"/>
    <w:pPr>
      <w:jc w:val="center"/>
    </w:pPr>
    <w:rPr>
      <w:b/>
      <w:bCs/>
    </w:rPr>
  </w:style>
  <w:style w:type="paragraph" w:customStyle="1" w:styleId="ConsPlusNormal0">
    <w:name w:val="ConsPlusNormal"/>
    <w:rsid w:val="008359B6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44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441E"/>
    <w:rPr>
      <w:sz w:val="24"/>
      <w:szCs w:val="24"/>
      <w:lang w:eastAsia="zh-CN"/>
    </w:rPr>
  </w:style>
  <w:style w:type="paragraph" w:styleId="af2">
    <w:name w:val="No Spacing"/>
    <w:uiPriority w:val="1"/>
    <w:qFormat/>
    <w:rsid w:val="007B721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0B36-03B4-4D51-AC1A-B64451E4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4</cp:revision>
  <cp:lastPrinted>2020-10-13T07:54:00Z</cp:lastPrinted>
  <dcterms:created xsi:type="dcterms:W3CDTF">2020-10-14T10:21:00Z</dcterms:created>
  <dcterms:modified xsi:type="dcterms:W3CDTF">2020-10-14T10:54:00Z</dcterms:modified>
</cp:coreProperties>
</file>