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0B" w:rsidRPr="004E61E0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61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325" cy="6756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0B" w:rsidRPr="00964D9F" w:rsidRDefault="00A5480B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B8D" w:rsidRPr="004E61E0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E0">
        <w:rPr>
          <w:rFonts w:ascii="Times New Roman" w:hAnsi="Times New Roman" w:cs="Times New Roman"/>
          <w:b/>
          <w:sz w:val="28"/>
          <w:szCs w:val="28"/>
        </w:rPr>
        <w:t>АДМИНИСТРАЦИЯ ГОРОДА ВЯТСКИЕ ПОЛЯНЫ</w:t>
      </w:r>
    </w:p>
    <w:p w:rsidR="00C44B8D" w:rsidRPr="004E61E0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1E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44B8D" w:rsidRPr="00964D9F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4E61E0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1E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44B8D" w:rsidRPr="00964D9F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44B8D" w:rsidRPr="004E61E0" w:rsidRDefault="00A52C08" w:rsidP="004E61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 w:rsidR="00131F54" w:rsidRPr="004E61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C44B8D" w:rsidRPr="004E61E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1723</w:t>
      </w:r>
    </w:p>
    <w:p w:rsidR="00C44B8D" w:rsidRPr="00964D9F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4B8D" w:rsidRPr="004E61E0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1E0">
        <w:rPr>
          <w:rFonts w:ascii="Times New Roman" w:hAnsi="Times New Roman" w:cs="Times New Roman"/>
          <w:b/>
          <w:sz w:val="28"/>
          <w:szCs w:val="28"/>
        </w:rPr>
        <w:t>г. Вятские Поляны</w:t>
      </w:r>
    </w:p>
    <w:p w:rsidR="00C44B8D" w:rsidRPr="00964D9F" w:rsidRDefault="00C44B8D" w:rsidP="004E6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1E0" w:rsidRPr="004E61E0" w:rsidRDefault="004E61E0" w:rsidP="004E61E0">
      <w:pPr>
        <w:pStyle w:val="2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>ключевы</w:t>
      </w:r>
      <w:r w:rsidR="00FA294C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 w:rsidR="00FA294C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 и их целевы</w:t>
      </w:r>
      <w:r w:rsidR="00964D9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 значени</w:t>
      </w:r>
      <w:r w:rsidR="00964D9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>, индикативны</w:t>
      </w:r>
      <w:r w:rsidR="00964D9F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</w:t>
      </w:r>
      <w:r w:rsidR="00964D9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B6AEA" w:rsidRPr="000B6AE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контроля в сфере благоустройства территории муниципального образования городского округа город Вятские Поляны Кировской области</w:t>
      </w:r>
    </w:p>
    <w:p w:rsidR="004E61E0" w:rsidRPr="00964D9F" w:rsidRDefault="004E61E0" w:rsidP="000B6AE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sz w:val="36"/>
          <w:szCs w:val="36"/>
        </w:rPr>
      </w:pPr>
    </w:p>
    <w:p w:rsidR="004E61E0" w:rsidRPr="004E61E0" w:rsidRDefault="004E61E0" w:rsidP="004E61E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E61E0">
        <w:rPr>
          <w:sz w:val="28"/>
          <w:szCs w:val="28"/>
        </w:rPr>
        <w:t>В соответствии с Федеральным</w:t>
      </w:r>
      <w:r w:rsidR="00964D9F">
        <w:rPr>
          <w:sz w:val="28"/>
          <w:szCs w:val="28"/>
        </w:rPr>
        <w:t>и</w:t>
      </w:r>
      <w:r w:rsidRPr="004E61E0">
        <w:rPr>
          <w:sz w:val="28"/>
          <w:szCs w:val="28"/>
        </w:rPr>
        <w:t xml:space="preserve"> закон</w:t>
      </w:r>
      <w:r w:rsidR="00964D9F">
        <w:rPr>
          <w:sz w:val="28"/>
          <w:szCs w:val="28"/>
        </w:rPr>
        <w:t>а</w:t>
      </w:r>
      <w:r w:rsidRPr="004E61E0">
        <w:rPr>
          <w:sz w:val="28"/>
          <w:szCs w:val="28"/>
        </w:rPr>
        <w:t>м</w:t>
      </w:r>
      <w:r w:rsidR="00964D9F">
        <w:rPr>
          <w:sz w:val="28"/>
          <w:szCs w:val="28"/>
        </w:rPr>
        <w:t>и</w:t>
      </w:r>
      <w:r w:rsidRPr="004E61E0">
        <w:rPr>
          <w:sz w:val="28"/>
          <w:szCs w:val="28"/>
        </w:rPr>
        <w:t xml:space="preserve"> </w:t>
      </w:r>
      <w:r w:rsidR="00431355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4E61E0">
        <w:rPr>
          <w:sz w:val="28"/>
          <w:szCs w:val="28"/>
        </w:rPr>
        <w:t xml:space="preserve">от 26.12.2018 № 294-ФЗ «О защите прав юридический лиц и индивидуальных предпринимателей при осуществлении государственного контроля (надзора) и муниципального контроля», </w:t>
      </w:r>
      <w:r w:rsidR="00964D9F">
        <w:rPr>
          <w:sz w:val="28"/>
          <w:szCs w:val="28"/>
        </w:rPr>
        <w:t>Решением Вятскополянской городской Думы</w:t>
      </w:r>
      <w:r w:rsidR="0057286C">
        <w:rPr>
          <w:sz w:val="28"/>
          <w:szCs w:val="28"/>
        </w:rPr>
        <w:t xml:space="preserve"> утвержденн</w:t>
      </w:r>
      <w:r w:rsidR="00964D9F">
        <w:rPr>
          <w:sz w:val="28"/>
          <w:szCs w:val="28"/>
        </w:rPr>
        <w:t>ым</w:t>
      </w:r>
      <w:r w:rsidR="0057286C">
        <w:rPr>
          <w:sz w:val="28"/>
          <w:szCs w:val="28"/>
        </w:rPr>
        <w:t xml:space="preserve"> от 29.10.2021 </w:t>
      </w:r>
      <w:r w:rsidR="00964D9F">
        <w:rPr>
          <w:sz w:val="28"/>
          <w:szCs w:val="28"/>
        </w:rPr>
        <w:t xml:space="preserve"> </w:t>
      </w:r>
      <w:r w:rsidR="0057286C">
        <w:rPr>
          <w:sz w:val="28"/>
          <w:szCs w:val="28"/>
        </w:rPr>
        <w:t>№ 2/8</w:t>
      </w:r>
      <w:r w:rsidR="0057286C" w:rsidRPr="004E61E0">
        <w:rPr>
          <w:sz w:val="28"/>
          <w:szCs w:val="28"/>
        </w:rPr>
        <w:t xml:space="preserve"> </w:t>
      </w:r>
      <w:r w:rsidR="0057286C">
        <w:rPr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муниципального образования городского округа город Вятские Поляны Кировской области», </w:t>
      </w:r>
      <w:r w:rsidRPr="004E61E0">
        <w:rPr>
          <w:sz w:val="28"/>
          <w:szCs w:val="28"/>
        </w:rPr>
        <w:t>Правил</w:t>
      </w:r>
      <w:r w:rsidR="00964D9F">
        <w:rPr>
          <w:sz w:val="28"/>
          <w:szCs w:val="28"/>
        </w:rPr>
        <w:t>ами</w:t>
      </w:r>
      <w:r w:rsidRPr="004E61E0">
        <w:rPr>
          <w:sz w:val="28"/>
          <w:szCs w:val="28"/>
        </w:rPr>
        <w:t xml:space="preserve"> благоустройства территории муниципального образования городского округа город Вятские Поляны Кировской области, утвержденны</w:t>
      </w:r>
      <w:r w:rsidR="00964D9F">
        <w:rPr>
          <w:sz w:val="28"/>
          <w:szCs w:val="28"/>
        </w:rPr>
        <w:t>ми</w:t>
      </w:r>
      <w:r w:rsidRPr="004E61E0">
        <w:rPr>
          <w:sz w:val="28"/>
          <w:szCs w:val="28"/>
        </w:rPr>
        <w:t xml:space="preserve"> Решением Вятскополянской городской Думы от 06.08.2013 № 49, администрация города Вятские Поляны ПОСТ</w:t>
      </w:r>
      <w:r w:rsidR="005762E4">
        <w:rPr>
          <w:sz w:val="28"/>
          <w:szCs w:val="28"/>
        </w:rPr>
        <w:t>А</w:t>
      </w:r>
      <w:r w:rsidRPr="004E61E0">
        <w:rPr>
          <w:sz w:val="28"/>
          <w:szCs w:val="28"/>
        </w:rPr>
        <w:t>НОВЛЯЕТ:</w:t>
      </w:r>
    </w:p>
    <w:p w:rsidR="00A607C1" w:rsidRDefault="00431355" w:rsidP="004E61E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 Утвердить ключевые показатели и их целевые значения, индикативные показатели муниципального контроля в сфере благоустройства территории муниципального образования городского округа город Вятские Поляны Кировской области</w:t>
      </w:r>
      <w:r w:rsidR="00A607C1">
        <w:rPr>
          <w:sz w:val="28"/>
          <w:szCs w:val="28"/>
        </w:rPr>
        <w:t>.</w:t>
      </w:r>
    </w:p>
    <w:p w:rsidR="004E61E0" w:rsidRPr="004E61E0" w:rsidRDefault="000B6AEA" w:rsidP="004E61E0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61E0" w:rsidRPr="004E61E0">
        <w:rPr>
          <w:rFonts w:ascii="Times New Roman" w:hAnsi="Times New Roman" w:cs="Times New Roman"/>
          <w:sz w:val="28"/>
          <w:szCs w:val="28"/>
        </w:rPr>
        <w:t xml:space="preserve">. </w:t>
      </w:r>
      <w:r w:rsidR="004E61E0" w:rsidRPr="004E61E0">
        <w:rPr>
          <w:rFonts w:ascii="Times New Roman" w:eastAsia="Arial" w:hAnsi="Times New Roman" w:cs="Times New Roman"/>
          <w:sz w:val="28"/>
          <w:szCs w:val="28"/>
        </w:rPr>
        <w:t xml:space="preserve">Опубликовать настоящее постановление в сборнике нормативных правовых актов органов местного самоуправления города Вятские Поляны  </w:t>
      </w:r>
      <w:r w:rsidR="004E61E0" w:rsidRPr="004E61E0">
        <w:rPr>
          <w:rFonts w:ascii="Times New Roman" w:hAnsi="Times New Roman" w:cs="Times New Roman"/>
          <w:sz w:val="28"/>
          <w:szCs w:val="28"/>
        </w:rPr>
        <w:t>«Деловой вестник» и разместить на официальном сайте администрации города Вятские Поляны в сети «Интернет»</w:t>
      </w:r>
      <w:r w:rsidR="004E61E0" w:rsidRPr="004E61E0">
        <w:rPr>
          <w:rFonts w:ascii="Times New Roman" w:eastAsia="Arial" w:hAnsi="Times New Roman" w:cs="Times New Roman"/>
          <w:sz w:val="28"/>
          <w:szCs w:val="28"/>
        </w:rPr>
        <w:t>.</w:t>
      </w:r>
    </w:p>
    <w:p w:rsidR="004E61E0" w:rsidRPr="004E61E0" w:rsidRDefault="000B6AEA" w:rsidP="004E61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61E0" w:rsidRPr="004E61E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 первого заместителя главы администрации города  Солодянкина А. П.</w:t>
      </w:r>
    </w:p>
    <w:p w:rsidR="00763329" w:rsidRPr="004E61E0" w:rsidRDefault="00763329" w:rsidP="004E61E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kern w:val="2"/>
          <w:sz w:val="72"/>
          <w:szCs w:val="72"/>
          <w:lang w:eastAsia="ar-SA"/>
        </w:rPr>
      </w:pPr>
    </w:p>
    <w:p w:rsidR="00A52C08" w:rsidRDefault="00763329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Вятские Поляны </w:t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</w:p>
    <w:p w:rsidR="00763329" w:rsidRPr="004E61E0" w:rsidRDefault="00A52C08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63329"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763329" w:rsidRPr="004E61E0" w:rsidRDefault="00763329" w:rsidP="004E61E0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329" w:rsidRPr="004E61E0" w:rsidRDefault="00763329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4E61E0" w:rsidRDefault="00763329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763329" w:rsidRPr="004E61E0" w:rsidRDefault="00763329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63329" w:rsidRPr="004E61E0" w:rsidRDefault="00763329" w:rsidP="004E61E0">
      <w:pPr>
        <w:tabs>
          <w:tab w:val="left" w:pos="7088"/>
          <w:tab w:val="left" w:pos="7371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Заведующий отделом архитектуры, </w:t>
      </w:r>
    </w:p>
    <w:p w:rsidR="00763329" w:rsidRPr="004E61E0" w:rsidRDefault="00763329" w:rsidP="004E61E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главный архитектор города</w:t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4E61E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И.Е. Губанова</w:t>
      </w:r>
    </w:p>
    <w:p w:rsidR="00763329" w:rsidRPr="004E61E0" w:rsidRDefault="00763329" w:rsidP="004E61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A52C08" w:rsidRDefault="00A52C08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2A7435" w:rsidRDefault="000B6AEA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2A7435" w:rsidRDefault="002A7435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2A7435" w:rsidRDefault="002A7435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УТВЕРЖДЕНЫ</w:t>
      </w:r>
    </w:p>
    <w:p w:rsidR="002A7435" w:rsidRPr="00DF6D2B" w:rsidRDefault="002A7435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</w:p>
    <w:p w:rsidR="002A7435" w:rsidRPr="00DF6D2B" w:rsidRDefault="002A7435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Вятские Поляны Кировской области</w:t>
      </w:r>
    </w:p>
    <w:p w:rsidR="002A7435" w:rsidRPr="00DF6D2B" w:rsidRDefault="002A7435" w:rsidP="002A7435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</w:rPr>
      </w:pPr>
      <w:r w:rsidRPr="00DF6D2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52C08">
        <w:rPr>
          <w:rFonts w:ascii="Times New Roman" w:eastAsia="Times New Roman" w:hAnsi="Times New Roman" w:cs="Times New Roman"/>
          <w:sz w:val="26"/>
          <w:szCs w:val="26"/>
        </w:rPr>
        <w:t xml:space="preserve"> 19.11.2021 </w:t>
      </w:r>
      <w:r w:rsidRPr="00DF6D2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52C08">
        <w:rPr>
          <w:rFonts w:ascii="Times New Roman" w:eastAsia="Times New Roman" w:hAnsi="Times New Roman" w:cs="Times New Roman"/>
          <w:sz w:val="26"/>
          <w:szCs w:val="26"/>
        </w:rPr>
        <w:t>1723</w:t>
      </w:r>
    </w:p>
    <w:p w:rsidR="002A7435" w:rsidRPr="00DF6D2B" w:rsidRDefault="002A7435" w:rsidP="002A743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A7435" w:rsidRPr="00DF6D2B" w:rsidRDefault="002A7435" w:rsidP="002A7435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6D2B">
        <w:rPr>
          <w:rFonts w:ascii="Times New Roman" w:eastAsia="Times New Roman" w:hAnsi="Times New Roman" w:cs="Times New Roman"/>
          <w:b/>
          <w:sz w:val="26"/>
          <w:szCs w:val="26"/>
        </w:rPr>
        <w:t xml:space="preserve">Ключевые показатели и их целевые значения, индикативные показатели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контроля</w:t>
      </w:r>
      <w:r w:rsidRPr="00DF6D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сфере благоустройства </w:t>
      </w:r>
      <w:r w:rsidRPr="00DF6D2B">
        <w:rPr>
          <w:rFonts w:ascii="Times New Roman" w:eastAsia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городского округа город Вятские Поляны Кировской области</w:t>
      </w:r>
    </w:p>
    <w:tbl>
      <w:tblPr>
        <w:tblpPr w:leftFromText="180" w:rightFromText="180" w:vertAnchor="text" w:horzAnchor="margin" w:tblpXSpec="center" w:tblpY="100"/>
        <w:tblW w:w="15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5812"/>
        <w:gridCol w:w="1984"/>
        <w:gridCol w:w="5387"/>
        <w:gridCol w:w="1512"/>
      </w:tblGrid>
      <w:tr w:rsidR="002A7435" w:rsidRPr="00964D9F" w:rsidTr="00BC1B6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-142" w:firstLine="34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-142" w:firstLine="34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-142" w:firstLine="84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-142" w:hanging="58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Комментарии показателя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-142" w:firstLine="83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Целевые значения показателя</w:t>
            </w:r>
          </w:p>
        </w:tc>
      </w:tr>
      <w:tr w:rsidR="002A7435" w:rsidRPr="00964D9F" w:rsidTr="00BC1B6C">
        <w:tc>
          <w:tcPr>
            <w:tcW w:w="15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результативности и эффективности муниципального контроля в сфере благоустройства на территории муниципального образования</w:t>
            </w:r>
            <w:r w:rsidRPr="00964D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город Вятские Поляны Кировской области</w:t>
            </w:r>
          </w:p>
        </w:tc>
      </w:tr>
      <w:tr w:rsidR="002A7435" w:rsidRPr="00964D9F" w:rsidTr="00BC1B6C">
        <w:tc>
          <w:tcPr>
            <w:tcW w:w="15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A7435" w:rsidRPr="00964D9F" w:rsidTr="00BC1B6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-142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количества обращений граждан и юридических лиц, содержащих сведения о фактах нарушения обязательных требований, поступивших в отчетном периоде текущего года от количества обращений граждан и юридических лиц, содержащих сведения о фактах нарушения обязательных требований, поступивших в отчетном периоде предыдущего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-142" w:firstLine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Д = К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тп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/К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пп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Д = Доля количества обращений</w:t>
            </w:r>
          </w:p>
          <w:p w:rsidR="002A7435" w:rsidRPr="00964D9F" w:rsidRDefault="002A7435" w:rsidP="002A743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тп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количество обращений за текущий период</w:t>
            </w:r>
          </w:p>
          <w:p w:rsidR="002A7435" w:rsidRPr="00964D9F" w:rsidRDefault="002A7435" w:rsidP="002A7435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пп</w:t>
            </w: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количество обращений за предыдущий период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spacing w:after="0" w:line="240" w:lineRule="auto"/>
              <w:ind w:left="-142" w:firstLine="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D9F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20%</w:t>
            </w:r>
          </w:p>
        </w:tc>
      </w:tr>
      <w:tr w:rsidR="002A7435" w:rsidRPr="00964D9F" w:rsidTr="00BC1B6C">
        <w:tc>
          <w:tcPr>
            <w:tcW w:w="151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7435" w:rsidRPr="00964D9F" w:rsidRDefault="002A7435" w:rsidP="002A7435">
            <w:pPr>
              <w:pStyle w:val="a8"/>
              <w:ind w:left="83" w:firstLine="34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</w:tr>
      <w:tr w:rsidR="002A7435" w:rsidRPr="00964D9F" w:rsidTr="00BC1B6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35" w:rsidRPr="00964D9F" w:rsidRDefault="002A7435" w:rsidP="002A7435">
            <w:pPr>
              <w:pStyle w:val="a8"/>
              <w:ind w:left="-142" w:firstLine="34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35" w:rsidRPr="00964D9F" w:rsidRDefault="002A7435" w:rsidP="002A7435">
            <w:pPr>
              <w:pStyle w:val="a8"/>
              <w:ind w:left="34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35" w:rsidRPr="00964D9F" w:rsidRDefault="002A7435" w:rsidP="002A7435">
            <w:pPr>
              <w:pStyle w:val="a8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Д = Кпр.нд/ Кобщ.пр.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435" w:rsidRPr="00964D9F" w:rsidRDefault="002A7435" w:rsidP="002A7435">
            <w:pPr>
              <w:pStyle w:val="s16"/>
              <w:spacing w:before="0" w:beforeAutospacing="0" w:after="0" w:afterAutospacing="0"/>
              <w:ind w:left="176"/>
            </w:pPr>
            <w:r w:rsidRPr="00964D9F">
              <w:t>Д = Доля контрольных (надзорных) мероприятий, результаты которых были признаны недействительными;</w:t>
            </w:r>
          </w:p>
          <w:p w:rsidR="002A7435" w:rsidRPr="00964D9F" w:rsidRDefault="002A7435" w:rsidP="002A7435">
            <w:pPr>
              <w:pStyle w:val="s16"/>
              <w:spacing w:before="0" w:beforeAutospacing="0" w:after="0" w:afterAutospacing="0"/>
              <w:ind w:left="176"/>
            </w:pPr>
            <w:r w:rsidRPr="00964D9F">
              <w:t>Кпр.нд – количество проведенных контрольных (надзорных) мероприятий, результаты которых были признаны недействительными (ед.);</w:t>
            </w:r>
          </w:p>
          <w:p w:rsidR="002A7435" w:rsidRPr="00964D9F" w:rsidRDefault="002A7435" w:rsidP="002A7435">
            <w:pPr>
              <w:pStyle w:val="s16"/>
              <w:spacing w:before="0" w:beforeAutospacing="0" w:after="0" w:afterAutospacing="0"/>
              <w:ind w:left="176"/>
            </w:pPr>
            <w:r w:rsidRPr="00964D9F">
              <w:t>Кобщ.пр. – общее количество проведенных контрольных (надзорных) мероприятий (ед.)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7435" w:rsidRPr="00964D9F" w:rsidRDefault="002A7435" w:rsidP="002A7435">
            <w:pPr>
              <w:pStyle w:val="a8"/>
              <w:ind w:left="-142" w:firstLine="83"/>
              <w:jc w:val="center"/>
              <w:rPr>
                <w:rFonts w:ascii="Times New Roman" w:hAnsi="Times New Roman" w:cs="Times New Roman"/>
              </w:rPr>
            </w:pPr>
            <w:r w:rsidRPr="00964D9F">
              <w:rPr>
                <w:rFonts w:ascii="Times New Roman" w:hAnsi="Times New Roman" w:cs="Times New Roman"/>
              </w:rPr>
              <w:t>не более 10%</w:t>
            </w:r>
          </w:p>
        </w:tc>
      </w:tr>
    </w:tbl>
    <w:p w:rsidR="00912F37" w:rsidRDefault="00912F37" w:rsidP="008644D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4D9F" w:rsidRDefault="00964D9F" w:rsidP="00964D9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64D9F" w:rsidRDefault="00964D9F" w:rsidP="008644D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64D9F" w:rsidRDefault="00964D9F" w:rsidP="008644D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912F37" w:rsidRDefault="00912F37" w:rsidP="008644DA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  <w:sectPr w:rsidR="00912F37" w:rsidSect="002A7435">
          <w:headerReference w:type="default" r:id="rId9"/>
          <w:pgSz w:w="16838" w:h="11906" w:orient="landscape"/>
          <w:pgMar w:top="426" w:right="567" w:bottom="142" w:left="284" w:header="708" w:footer="708" w:gutter="0"/>
          <w:cols w:space="708"/>
          <w:docGrid w:linePitch="360"/>
        </w:sectPr>
      </w:pPr>
    </w:p>
    <w:p w:rsidR="007149C3" w:rsidRPr="004E61E0" w:rsidRDefault="007149C3" w:rsidP="000B6AE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</w:p>
    <w:sectPr w:rsidR="007149C3" w:rsidRPr="004E61E0" w:rsidSect="005500D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53" w:rsidRDefault="00032353" w:rsidP="00964D9F">
      <w:pPr>
        <w:spacing w:after="0" w:line="240" w:lineRule="auto"/>
      </w:pPr>
      <w:r>
        <w:separator/>
      </w:r>
    </w:p>
  </w:endnote>
  <w:endnote w:type="continuationSeparator" w:id="1">
    <w:p w:rsidR="00032353" w:rsidRDefault="00032353" w:rsidP="0096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53" w:rsidRDefault="00032353" w:rsidP="00964D9F">
      <w:pPr>
        <w:spacing w:after="0" w:line="240" w:lineRule="auto"/>
      </w:pPr>
      <w:r>
        <w:separator/>
      </w:r>
    </w:p>
  </w:footnote>
  <w:footnote w:type="continuationSeparator" w:id="1">
    <w:p w:rsidR="00032353" w:rsidRDefault="00032353" w:rsidP="0096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7027"/>
      <w:docPartObj>
        <w:docPartGallery w:val="Page Numbers (Top of Page)"/>
        <w:docPartUnique/>
      </w:docPartObj>
    </w:sdtPr>
    <w:sdtContent>
      <w:p w:rsidR="00964D9F" w:rsidRDefault="005548A2" w:rsidP="00964D9F">
        <w:pPr>
          <w:pStyle w:val="a9"/>
          <w:jc w:val="center"/>
        </w:pPr>
        <w:fldSimple w:instr=" PAGE   \* MERGEFORMAT ">
          <w:r w:rsidR="00A52C08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CB39F2"/>
    <w:multiLevelType w:val="hybridMultilevel"/>
    <w:tmpl w:val="776A9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503DB7"/>
    <w:multiLevelType w:val="hybridMultilevel"/>
    <w:tmpl w:val="96548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A67"/>
    <w:rsid w:val="0000654A"/>
    <w:rsid w:val="00032353"/>
    <w:rsid w:val="00045BAB"/>
    <w:rsid w:val="00050C22"/>
    <w:rsid w:val="00067E70"/>
    <w:rsid w:val="000A1210"/>
    <w:rsid w:val="000B6AEA"/>
    <w:rsid w:val="000C6765"/>
    <w:rsid w:val="000D3750"/>
    <w:rsid w:val="000F014C"/>
    <w:rsid w:val="00103650"/>
    <w:rsid w:val="00106C57"/>
    <w:rsid w:val="00131F54"/>
    <w:rsid w:val="0015083D"/>
    <w:rsid w:val="00150DDA"/>
    <w:rsid w:val="001A417B"/>
    <w:rsid w:val="001A7664"/>
    <w:rsid w:val="001D7F71"/>
    <w:rsid w:val="001E292F"/>
    <w:rsid w:val="0024039D"/>
    <w:rsid w:val="00243268"/>
    <w:rsid w:val="00245F1C"/>
    <w:rsid w:val="002571A3"/>
    <w:rsid w:val="00271C1D"/>
    <w:rsid w:val="002A44DD"/>
    <w:rsid w:val="002A4A91"/>
    <w:rsid w:val="002A7435"/>
    <w:rsid w:val="002C2249"/>
    <w:rsid w:val="002D745D"/>
    <w:rsid w:val="002E2BBE"/>
    <w:rsid w:val="002F2C61"/>
    <w:rsid w:val="002F2F5E"/>
    <w:rsid w:val="003300AA"/>
    <w:rsid w:val="00335261"/>
    <w:rsid w:val="003719CF"/>
    <w:rsid w:val="00396668"/>
    <w:rsid w:val="003B33D2"/>
    <w:rsid w:val="003E13BE"/>
    <w:rsid w:val="00401902"/>
    <w:rsid w:val="00403C06"/>
    <w:rsid w:val="004050B5"/>
    <w:rsid w:val="00414A3C"/>
    <w:rsid w:val="00431355"/>
    <w:rsid w:val="00440605"/>
    <w:rsid w:val="00443C3C"/>
    <w:rsid w:val="00447B46"/>
    <w:rsid w:val="00467662"/>
    <w:rsid w:val="004915A1"/>
    <w:rsid w:val="004A3B63"/>
    <w:rsid w:val="004B683A"/>
    <w:rsid w:val="004D6836"/>
    <w:rsid w:val="004E61E0"/>
    <w:rsid w:val="00531D29"/>
    <w:rsid w:val="005500DE"/>
    <w:rsid w:val="005548A2"/>
    <w:rsid w:val="00561434"/>
    <w:rsid w:val="0057286C"/>
    <w:rsid w:val="005762E4"/>
    <w:rsid w:val="005813C9"/>
    <w:rsid w:val="00590A9E"/>
    <w:rsid w:val="005A3613"/>
    <w:rsid w:val="005B726E"/>
    <w:rsid w:val="005C1F24"/>
    <w:rsid w:val="005E28DE"/>
    <w:rsid w:val="005E3A41"/>
    <w:rsid w:val="005E6E36"/>
    <w:rsid w:val="006718A8"/>
    <w:rsid w:val="00691C4B"/>
    <w:rsid w:val="006954A2"/>
    <w:rsid w:val="0069799F"/>
    <w:rsid w:val="006A1744"/>
    <w:rsid w:val="006E60B5"/>
    <w:rsid w:val="006F3981"/>
    <w:rsid w:val="0071286B"/>
    <w:rsid w:val="007149C3"/>
    <w:rsid w:val="00720002"/>
    <w:rsid w:val="00720616"/>
    <w:rsid w:val="00721E15"/>
    <w:rsid w:val="00744DAA"/>
    <w:rsid w:val="00763329"/>
    <w:rsid w:val="00764763"/>
    <w:rsid w:val="007678AA"/>
    <w:rsid w:val="007818CA"/>
    <w:rsid w:val="007B175A"/>
    <w:rsid w:val="007B6444"/>
    <w:rsid w:val="00802A67"/>
    <w:rsid w:val="008154C2"/>
    <w:rsid w:val="00826F1F"/>
    <w:rsid w:val="00840066"/>
    <w:rsid w:val="00845300"/>
    <w:rsid w:val="0084558A"/>
    <w:rsid w:val="008503CC"/>
    <w:rsid w:val="008644DA"/>
    <w:rsid w:val="00877D96"/>
    <w:rsid w:val="00883322"/>
    <w:rsid w:val="008B4AEC"/>
    <w:rsid w:val="008F0E33"/>
    <w:rsid w:val="00905A75"/>
    <w:rsid w:val="00912F37"/>
    <w:rsid w:val="009265B1"/>
    <w:rsid w:val="00946E1B"/>
    <w:rsid w:val="00951D54"/>
    <w:rsid w:val="00956820"/>
    <w:rsid w:val="0095771B"/>
    <w:rsid w:val="0095776C"/>
    <w:rsid w:val="00964D9F"/>
    <w:rsid w:val="0098428E"/>
    <w:rsid w:val="009B709B"/>
    <w:rsid w:val="009D454E"/>
    <w:rsid w:val="009D631A"/>
    <w:rsid w:val="009E0193"/>
    <w:rsid w:val="00A30413"/>
    <w:rsid w:val="00A4630A"/>
    <w:rsid w:val="00A52C08"/>
    <w:rsid w:val="00A5480B"/>
    <w:rsid w:val="00A56B9D"/>
    <w:rsid w:val="00A607C1"/>
    <w:rsid w:val="00A620AD"/>
    <w:rsid w:val="00A70FC9"/>
    <w:rsid w:val="00AA097A"/>
    <w:rsid w:val="00AB3CED"/>
    <w:rsid w:val="00AE7F20"/>
    <w:rsid w:val="00B46F55"/>
    <w:rsid w:val="00B478ED"/>
    <w:rsid w:val="00B706C7"/>
    <w:rsid w:val="00BC12E5"/>
    <w:rsid w:val="00C0690F"/>
    <w:rsid w:val="00C44B8D"/>
    <w:rsid w:val="00C61237"/>
    <w:rsid w:val="00C616B0"/>
    <w:rsid w:val="00C817C0"/>
    <w:rsid w:val="00C902B6"/>
    <w:rsid w:val="00CC4754"/>
    <w:rsid w:val="00CC6BB0"/>
    <w:rsid w:val="00CC7251"/>
    <w:rsid w:val="00CE1854"/>
    <w:rsid w:val="00CE295A"/>
    <w:rsid w:val="00D16A5B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220CE"/>
    <w:rsid w:val="00E24FC1"/>
    <w:rsid w:val="00E477DF"/>
    <w:rsid w:val="00E54854"/>
    <w:rsid w:val="00E65317"/>
    <w:rsid w:val="00E719EE"/>
    <w:rsid w:val="00E85A61"/>
    <w:rsid w:val="00EC0A94"/>
    <w:rsid w:val="00EC4064"/>
    <w:rsid w:val="00EF701B"/>
    <w:rsid w:val="00F14D27"/>
    <w:rsid w:val="00F43934"/>
    <w:rsid w:val="00F61F88"/>
    <w:rsid w:val="00F63058"/>
    <w:rsid w:val="00F65E79"/>
    <w:rsid w:val="00F87198"/>
    <w:rsid w:val="00FA294C"/>
    <w:rsid w:val="00FB1FAC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paragraph" w:styleId="1">
    <w:name w:val="heading 1"/>
    <w:basedOn w:val="a"/>
    <w:next w:val="a"/>
    <w:link w:val="10"/>
    <w:qFormat/>
    <w:rsid w:val="00C44B8D"/>
    <w:pPr>
      <w:keepNext/>
      <w:suppressAutoHyphens/>
      <w:spacing w:after="0" w:line="240" w:lineRule="auto"/>
      <w:ind w:left="1260" w:hanging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1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rsid w:val="00C44B8D"/>
    <w:rPr>
      <w:color w:val="0000FF"/>
      <w:u w:val="single"/>
    </w:rPr>
  </w:style>
  <w:style w:type="table" w:styleId="a5">
    <w:name w:val="Table Grid"/>
    <w:basedOn w:val="a1"/>
    <w:rsid w:val="00C4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44B8D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B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61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4E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2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16">
    <w:name w:val="s_16"/>
    <w:basedOn w:val="a"/>
    <w:rsid w:val="0091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4D9F"/>
  </w:style>
  <w:style w:type="paragraph" w:styleId="ab">
    <w:name w:val="footer"/>
    <w:basedOn w:val="a"/>
    <w:link w:val="ac"/>
    <w:uiPriority w:val="99"/>
    <w:semiHidden/>
    <w:unhideWhenUsed/>
    <w:rsid w:val="0096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4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6E5-BD12-428A-8823-4CD92CD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User2306</cp:lastModifiedBy>
  <cp:revision>2</cp:revision>
  <cp:lastPrinted>2021-11-22T08:16:00Z</cp:lastPrinted>
  <dcterms:created xsi:type="dcterms:W3CDTF">2021-11-23T06:20:00Z</dcterms:created>
  <dcterms:modified xsi:type="dcterms:W3CDTF">2021-11-23T06:20:00Z</dcterms:modified>
</cp:coreProperties>
</file>