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3662C9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 w:rsidP="009B196C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 w:rsidP="009B196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Default="003662C9" w:rsidP="006A12C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03</w:t>
      </w:r>
      <w:r w:rsidR="00BF2B2E">
        <w:rPr>
          <w:sz w:val="28"/>
          <w:szCs w:val="28"/>
          <w:u w:val="single"/>
        </w:rPr>
        <w:t>.05.2024</w:t>
      </w:r>
      <w:r w:rsidR="00FB0FE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FB0FE8">
        <w:rPr>
          <w:sz w:val="28"/>
          <w:szCs w:val="28"/>
        </w:rPr>
        <w:t xml:space="preserve">     </w:t>
      </w:r>
      <w:r w:rsidR="001F7AA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679</w:t>
      </w:r>
    </w:p>
    <w:p w:rsidR="006A12C4" w:rsidRDefault="006A12C4" w:rsidP="006A12C4">
      <w:pPr>
        <w:jc w:val="both"/>
      </w:pPr>
    </w:p>
    <w:p w:rsidR="00EC0F8C" w:rsidRDefault="00EC0F8C" w:rsidP="000D7B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 w:rsidP="000D7B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проверке готовности теплоснабжающих организаций, теплосетевых организаций и потребителей тепловой энергии города Вятские Пол</w:t>
      </w:r>
      <w:r w:rsidR="009968AE">
        <w:rPr>
          <w:b/>
          <w:sz w:val="28"/>
          <w:szCs w:val="28"/>
        </w:rPr>
        <w:t>яны к отопительному периоду 20</w:t>
      </w:r>
      <w:r w:rsidR="00D57D80">
        <w:rPr>
          <w:b/>
          <w:sz w:val="28"/>
          <w:szCs w:val="28"/>
        </w:rPr>
        <w:t>2</w:t>
      </w:r>
      <w:r w:rsidR="00F56E2F">
        <w:rPr>
          <w:b/>
          <w:sz w:val="28"/>
          <w:szCs w:val="28"/>
        </w:rPr>
        <w:t>4</w:t>
      </w:r>
      <w:r w:rsidR="009968AE">
        <w:rPr>
          <w:b/>
          <w:sz w:val="28"/>
          <w:szCs w:val="28"/>
        </w:rPr>
        <w:t>-20</w:t>
      </w:r>
      <w:r w:rsidR="00665942">
        <w:rPr>
          <w:b/>
          <w:sz w:val="28"/>
          <w:szCs w:val="28"/>
        </w:rPr>
        <w:t>2</w:t>
      </w:r>
      <w:r w:rsidR="00F56E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0D7BC4">
        <w:rPr>
          <w:sz w:val="28"/>
          <w:szCs w:val="28"/>
        </w:rPr>
        <w:t>ным законом от 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190-ФЗ «О</w:t>
      </w:r>
      <w:r w:rsidR="00665942">
        <w:rPr>
          <w:sz w:val="28"/>
          <w:szCs w:val="28"/>
        </w:rPr>
        <w:t> </w:t>
      </w:r>
      <w:r>
        <w:rPr>
          <w:sz w:val="28"/>
          <w:szCs w:val="28"/>
        </w:rPr>
        <w:t xml:space="preserve">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Поляны к отопительному периоду 20</w:t>
      </w:r>
      <w:r w:rsidR="007F11D5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F56E2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и предотвращения чрезвычайных ситуаци</w:t>
      </w:r>
      <w:r w:rsidR="000D7BC4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Образовать комиссию по проверке готовности теплоснабжающих организации,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 w:rsidR="00575D54"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F56E2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и утвердить её состав согласно приложению.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 xml:space="preserve">иссии в срок до </w:t>
      </w:r>
      <w:r w:rsidR="00AE1C61">
        <w:rPr>
          <w:sz w:val="28"/>
          <w:szCs w:val="28"/>
        </w:rPr>
        <w:t>2</w:t>
      </w:r>
      <w:r w:rsidR="00F56E2F">
        <w:rPr>
          <w:sz w:val="28"/>
          <w:szCs w:val="28"/>
        </w:rPr>
        <w:t>2</w:t>
      </w:r>
      <w:r w:rsidR="009938D8">
        <w:rPr>
          <w:sz w:val="28"/>
          <w:szCs w:val="28"/>
        </w:rPr>
        <w:t>.0</w:t>
      </w:r>
      <w:r w:rsidR="00AE1C61">
        <w:rPr>
          <w:sz w:val="28"/>
          <w:szCs w:val="28"/>
        </w:rPr>
        <w:t>7</w:t>
      </w:r>
      <w:r w:rsidR="009938D8">
        <w:rPr>
          <w:sz w:val="28"/>
          <w:szCs w:val="28"/>
        </w:rPr>
        <w:t>.20</w:t>
      </w:r>
      <w:r w:rsidR="00D57D80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>
        <w:rPr>
          <w:sz w:val="28"/>
          <w:szCs w:val="28"/>
        </w:rPr>
        <w:t xml:space="preserve"> осуществить проверку готовности теплоснабжающих организаций,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 w:rsidR="00575D54"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F56E2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 Результаты проверки оформить актом проверки готовности к отопительному периоду, который составить не позднее одного дня с даты </w:t>
      </w:r>
      <w:r>
        <w:rPr>
          <w:sz w:val="28"/>
          <w:szCs w:val="28"/>
        </w:rPr>
        <w:lastRenderedPageBreak/>
        <w:t>завершения проверки по рекомендуемому образцу согласно приложению № 1 к Правилам оценки готовности к отопительному периоду.</w:t>
      </w:r>
    </w:p>
    <w:p w:rsidR="00EC0F8C" w:rsidRDefault="00575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Комиссии в срок до </w:t>
      </w:r>
      <w:r w:rsidR="00761C6B">
        <w:rPr>
          <w:sz w:val="28"/>
          <w:szCs w:val="28"/>
        </w:rPr>
        <w:t>0</w:t>
      </w:r>
      <w:r w:rsidR="00AE1C61">
        <w:rPr>
          <w:sz w:val="28"/>
          <w:szCs w:val="28"/>
        </w:rPr>
        <w:t>1</w:t>
      </w:r>
      <w:r w:rsidR="009938D8">
        <w:rPr>
          <w:sz w:val="28"/>
          <w:szCs w:val="28"/>
        </w:rPr>
        <w:t>.0</w:t>
      </w:r>
      <w:r w:rsidR="00AE1C61">
        <w:rPr>
          <w:sz w:val="28"/>
          <w:szCs w:val="28"/>
        </w:rPr>
        <w:t>8</w:t>
      </w:r>
      <w:r w:rsidR="009938D8">
        <w:rPr>
          <w:sz w:val="28"/>
          <w:szCs w:val="28"/>
        </w:rPr>
        <w:t>.20</w:t>
      </w:r>
      <w:r w:rsidR="00D57D80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</w:t>
      </w:r>
      <w:r w:rsidR="00D57D80">
        <w:rPr>
          <w:sz w:val="28"/>
          <w:szCs w:val="28"/>
        </w:rPr>
        <w:t>2</w:t>
      </w:r>
      <w:r w:rsidR="00F56E2F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F56E2F">
        <w:rPr>
          <w:sz w:val="28"/>
          <w:szCs w:val="28"/>
        </w:rPr>
        <w:t>5</w:t>
      </w:r>
      <w:r w:rsidR="00EC0F8C">
        <w:rPr>
          <w:sz w:val="28"/>
          <w:szCs w:val="28"/>
        </w:rPr>
        <w:t xml:space="preserve"> годов (далее</w:t>
      </w:r>
      <w:r w:rsidR="00B7683D">
        <w:rPr>
          <w:sz w:val="28"/>
          <w:szCs w:val="28"/>
        </w:rPr>
        <w:t> </w:t>
      </w:r>
      <w:r w:rsidR="000D7BC4">
        <w:rPr>
          <w:sz w:val="28"/>
          <w:szCs w:val="28"/>
        </w:rPr>
        <w:t>–</w:t>
      </w:r>
      <w:r w:rsidR="00EC0F8C">
        <w:rPr>
          <w:sz w:val="28"/>
          <w:szCs w:val="28"/>
        </w:rPr>
        <w:t xml:space="preserve">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947BDD" w:rsidRDefault="00EC0F8C" w:rsidP="00D059B6">
      <w:pPr>
        <w:spacing w:after="720"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059B6">
        <w:rPr>
          <w:sz w:val="28"/>
          <w:szCs w:val="28"/>
        </w:rPr>
        <w:t>Инспектору по контролю за исполнением поручений МКУ по обеспечению деятельности ОМС Чернышовой Е.А. р</w:t>
      </w:r>
      <w:r>
        <w:rPr>
          <w:sz w:val="28"/>
          <w:szCs w:val="28"/>
        </w:rPr>
        <w:t xml:space="preserve">азместить настоящее постановление на официальном сайте </w:t>
      </w:r>
      <w:r w:rsidR="00D059B6">
        <w:rPr>
          <w:sz w:val="28"/>
          <w:szCs w:val="28"/>
        </w:rPr>
        <w:t>органов местного самоуправления муниципального образования городского округа город Вятские Поляны Кировской области.</w:t>
      </w:r>
    </w:p>
    <w:p w:rsidR="003662C9" w:rsidRDefault="00F56E2F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C0F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0F8C">
        <w:rPr>
          <w:sz w:val="28"/>
          <w:szCs w:val="28"/>
        </w:rPr>
        <w:t xml:space="preserve"> </w:t>
      </w:r>
      <w:r w:rsidR="007A2E69">
        <w:rPr>
          <w:sz w:val="28"/>
          <w:szCs w:val="28"/>
        </w:rPr>
        <w:t>города</w:t>
      </w:r>
      <w:r w:rsidR="00304489">
        <w:rPr>
          <w:sz w:val="28"/>
          <w:szCs w:val="28"/>
        </w:rPr>
        <w:t xml:space="preserve"> Вятские Поляны</w:t>
      </w:r>
      <w:r w:rsidR="00755B9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0D7BC4" w:rsidRDefault="003662C9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56E2F">
        <w:rPr>
          <w:sz w:val="28"/>
          <w:szCs w:val="28"/>
        </w:rPr>
        <w:t xml:space="preserve">      В.</w:t>
      </w:r>
      <w:r w:rsidR="009B2A6F">
        <w:rPr>
          <w:sz w:val="28"/>
          <w:szCs w:val="28"/>
        </w:rPr>
        <w:t>А.</w:t>
      </w:r>
      <w:r w:rsidR="003D5A67">
        <w:rPr>
          <w:sz w:val="28"/>
          <w:szCs w:val="28"/>
        </w:rPr>
        <w:t xml:space="preserve"> </w:t>
      </w:r>
      <w:r w:rsidR="00F56E2F">
        <w:rPr>
          <w:sz w:val="28"/>
          <w:szCs w:val="28"/>
        </w:rPr>
        <w:t>Машки</w:t>
      </w:r>
      <w:r w:rsidR="009B2A6F">
        <w:rPr>
          <w:sz w:val="28"/>
          <w:szCs w:val="28"/>
        </w:rPr>
        <w:t>н</w:t>
      </w:r>
    </w:p>
    <w:p w:rsidR="00E42058" w:rsidRDefault="00E42058" w:rsidP="00864D69">
      <w:pPr>
        <w:pBdr>
          <w:bottom w:val="single" w:sz="4" w:space="1" w:color="auto"/>
        </w:pBdr>
        <w:tabs>
          <w:tab w:val="left" w:pos="7371"/>
        </w:tabs>
        <w:jc w:val="both"/>
        <w:rPr>
          <w:sz w:val="28"/>
          <w:szCs w:val="28"/>
        </w:rPr>
      </w:pPr>
    </w:p>
    <w:p w:rsidR="00EC0F8C" w:rsidRDefault="00EC0F8C" w:rsidP="00D059B6">
      <w:pPr>
        <w:spacing w:after="120"/>
        <w:rPr>
          <w:sz w:val="28"/>
          <w:szCs w:val="28"/>
        </w:rPr>
      </w:pPr>
    </w:p>
    <w:p w:rsidR="00E42058" w:rsidRDefault="00E42058" w:rsidP="00864D69">
      <w:pPr>
        <w:tabs>
          <w:tab w:val="left" w:pos="7371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42058" w:rsidRDefault="00E42058" w:rsidP="00E42058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E42058" w:rsidRDefault="00E42058" w:rsidP="00E42058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 xml:space="preserve">Е.Н. Лаврентьева </w:t>
      </w:r>
    </w:p>
    <w:p w:rsidR="00EC0F8C" w:rsidRDefault="00EC0F8C">
      <w:pPr>
        <w:sectPr w:rsidR="00EC0F8C" w:rsidSect="00D059B6">
          <w:headerReference w:type="default" r:id="rId9"/>
          <w:pgSz w:w="11906" w:h="16838"/>
          <w:pgMar w:top="697" w:right="680" w:bottom="568" w:left="1560" w:header="720" w:footer="116" w:gutter="0"/>
          <w:cols w:space="720"/>
          <w:titlePg/>
          <w:docGrid w:linePitch="360"/>
        </w:sect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62C9">
        <w:rPr>
          <w:sz w:val="28"/>
          <w:szCs w:val="28"/>
        </w:rPr>
        <w:t>03.05.2024</w:t>
      </w:r>
      <w:r w:rsidR="00EF4C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3662C9">
        <w:rPr>
          <w:sz w:val="28"/>
          <w:szCs w:val="28"/>
        </w:rPr>
        <w:t>679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теплоснабжающих организации, теплосетевых организации и потребителей тепловой энергии города Вятские Пол</w:t>
      </w:r>
      <w:r w:rsidR="006C1C93">
        <w:rPr>
          <w:b/>
          <w:sz w:val="28"/>
          <w:szCs w:val="28"/>
        </w:rPr>
        <w:t>яны к отопительному периоду 20</w:t>
      </w:r>
      <w:r w:rsidR="0072603C">
        <w:rPr>
          <w:b/>
          <w:sz w:val="28"/>
          <w:szCs w:val="28"/>
        </w:rPr>
        <w:t>2</w:t>
      </w:r>
      <w:r w:rsidR="00F56E2F">
        <w:rPr>
          <w:b/>
          <w:sz w:val="28"/>
          <w:szCs w:val="28"/>
        </w:rPr>
        <w:t>4</w:t>
      </w:r>
      <w:r w:rsidR="006C1C93">
        <w:rPr>
          <w:b/>
          <w:sz w:val="28"/>
          <w:szCs w:val="28"/>
        </w:rPr>
        <w:t>-20</w:t>
      </w:r>
      <w:r w:rsidR="00E046B2">
        <w:rPr>
          <w:b/>
          <w:sz w:val="28"/>
          <w:szCs w:val="28"/>
        </w:rPr>
        <w:t>2</w:t>
      </w:r>
      <w:r w:rsidR="00F56E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 w:rsidTr="006A114C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046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13B3D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EC0F8C" w:rsidRPr="00E42788" w:rsidRDefault="00EC0F8C">
            <w:pPr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</w:tcPr>
          <w:p w:rsidR="00EC0F8C" w:rsidRDefault="00E420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EC0F8C" w:rsidRDefault="00E42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64541D" w:rsidP="004962D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C0F8C"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 w:rsidR="004962DE">
              <w:rPr>
                <w:sz w:val="28"/>
                <w:szCs w:val="28"/>
              </w:rPr>
              <w:t xml:space="preserve">по городскому хозяйству, </w:t>
            </w:r>
            <w:r w:rsidR="004962DE" w:rsidRPr="004962DE">
              <w:rPr>
                <w:sz w:val="28"/>
                <w:szCs w:val="28"/>
              </w:rPr>
              <w:t xml:space="preserve">безопасности </w:t>
            </w:r>
            <w:r w:rsidR="004962DE">
              <w:rPr>
                <w:sz w:val="28"/>
                <w:szCs w:val="28"/>
              </w:rPr>
              <w:t xml:space="preserve">жизнедеятельности </w:t>
            </w:r>
            <w:r w:rsidR="004962DE" w:rsidRPr="004962DE">
              <w:rPr>
                <w:sz w:val="28"/>
                <w:szCs w:val="28"/>
              </w:rPr>
              <w:t xml:space="preserve">населения </w:t>
            </w:r>
            <w:r w:rsidR="00EC0F8C" w:rsidRPr="004962DE">
              <w:rPr>
                <w:sz w:val="28"/>
                <w:szCs w:val="28"/>
              </w:rPr>
              <w:t>Вятскополянской городской Думы; заместитель председателя комиссии (по согласованию)</w:t>
            </w:r>
          </w:p>
          <w:p w:rsidR="00EC0F8C" w:rsidRPr="00E42788" w:rsidRDefault="00EC0F8C" w:rsidP="004962D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Pr="00E42788" w:rsidRDefault="00EC0F8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Махсумьянович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государственный инспектор Западно-уральского управления Ростехнадзора (по согласованию)</w:t>
            </w:r>
          </w:p>
          <w:p w:rsidR="00E42788" w:rsidRPr="00D36A60" w:rsidRDefault="00E42788" w:rsidP="00F34F90">
            <w:pPr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E42788" w:rsidRPr="00D36A60" w:rsidRDefault="00EF4CF9" w:rsidP="00EF4CF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E42788" w:rsidRPr="00D36A60" w:rsidRDefault="00EF4CF9" w:rsidP="00F34F90">
            <w:pPr>
              <w:snapToGrid w:val="0"/>
              <w:rPr>
                <w:sz w:val="26"/>
                <w:szCs w:val="26"/>
              </w:rPr>
            </w:pPr>
            <w:r w:rsidRPr="0087649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консультант управления по вопросам жизнеобеспечения администрации города</w:t>
            </w: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F4CF9" w:rsidRDefault="00EF4CF9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F4CF9" w:rsidRDefault="00EF4CF9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6866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управления по вопросам жизнеобеспечения администрации города Вятские Поляны</w:t>
            </w: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 w:rsidRPr="008227EF">
              <w:rPr>
                <w:sz w:val="28"/>
                <w:szCs w:val="28"/>
              </w:rPr>
              <w:t>Рафаиль Магсумзянович</w:t>
            </w:r>
          </w:p>
        </w:tc>
        <w:tc>
          <w:tcPr>
            <w:tcW w:w="4956" w:type="dxa"/>
            <w:shd w:val="clear" w:color="auto" w:fill="auto"/>
          </w:tcPr>
          <w:p w:rsidR="006A114C" w:rsidRDefault="006A114C" w:rsidP="006A114C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686636" w:rsidRPr="001550B8" w:rsidRDefault="00686636" w:rsidP="006A114C">
            <w:pPr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Pr="0087649F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lastRenderedPageBreak/>
              <w:t>ПАЮРОВ</w:t>
            </w:r>
          </w:p>
          <w:p w:rsidR="006A114C" w:rsidRPr="0087649F" w:rsidRDefault="006A114C" w:rsidP="00F34F90">
            <w:pPr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Алексей Сергеевич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7F11D5" w:rsidRPr="0087649F" w:rsidRDefault="007F11D5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86636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4CF9" w:rsidRPr="001550B8">
              <w:rPr>
                <w:sz w:val="28"/>
                <w:szCs w:val="28"/>
              </w:rPr>
              <w:t>–</w:t>
            </w:r>
            <w:r w:rsidR="00EF4CF9">
              <w:rPr>
                <w:sz w:val="28"/>
                <w:szCs w:val="28"/>
              </w:rPr>
              <w:t xml:space="preserve"> главный инженер филиала АО «Газпром газораспределение Киров» филиал в г. Вятские Поляны (по согласованию)</w:t>
            </w:r>
          </w:p>
          <w:p w:rsidR="00686636" w:rsidRPr="0087649F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6866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</w:t>
            </w:r>
            <w:r w:rsidR="00686636">
              <w:rPr>
                <w:sz w:val="28"/>
                <w:szCs w:val="28"/>
              </w:rPr>
              <w:t>бщества с ограниченной ответственностью «Теплоснаб»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6A114C">
      <w:pgSz w:w="11906" w:h="16838"/>
      <w:pgMar w:top="700" w:right="68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04" w:rsidRDefault="00985104" w:rsidP="009B196C">
      <w:r>
        <w:separator/>
      </w:r>
    </w:p>
  </w:endnote>
  <w:endnote w:type="continuationSeparator" w:id="0">
    <w:p w:rsidR="00985104" w:rsidRDefault="00985104" w:rsidP="009B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04" w:rsidRDefault="00985104" w:rsidP="009B196C">
      <w:r>
        <w:separator/>
      </w:r>
    </w:p>
  </w:footnote>
  <w:footnote w:type="continuationSeparator" w:id="0">
    <w:p w:rsidR="00985104" w:rsidRDefault="00985104" w:rsidP="009B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6C" w:rsidRDefault="00857922">
    <w:pPr>
      <w:pStyle w:val="a9"/>
      <w:jc w:val="center"/>
    </w:pPr>
    <w:r>
      <w:fldChar w:fldCharType="begin"/>
    </w:r>
    <w:r w:rsidR="006C5A59">
      <w:instrText xml:space="preserve"> PAGE   \* MERGEFORMAT </w:instrText>
    </w:r>
    <w:r>
      <w:fldChar w:fldCharType="separate"/>
    </w:r>
    <w:r w:rsidR="003662C9">
      <w:rPr>
        <w:noProof/>
      </w:rPr>
      <w:t>2</w:t>
    </w:r>
    <w:r>
      <w:rPr>
        <w:noProof/>
      </w:rPr>
      <w:fldChar w:fldCharType="end"/>
    </w:r>
  </w:p>
  <w:p w:rsidR="009B196C" w:rsidRDefault="009B1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51A"/>
    <w:rsid w:val="00000B68"/>
    <w:rsid w:val="00020697"/>
    <w:rsid w:val="0003348A"/>
    <w:rsid w:val="000D22F9"/>
    <w:rsid w:val="000D7BC4"/>
    <w:rsid w:val="00175F53"/>
    <w:rsid w:val="00181F81"/>
    <w:rsid w:val="00182FD3"/>
    <w:rsid w:val="00196B52"/>
    <w:rsid w:val="001B7895"/>
    <w:rsid w:val="001B7969"/>
    <w:rsid w:val="001E3A07"/>
    <w:rsid w:val="001E5EAA"/>
    <w:rsid w:val="001F7AA3"/>
    <w:rsid w:val="00261D7A"/>
    <w:rsid w:val="002D0A16"/>
    <w:rsid w:val="002E05D5"/>
    <w:rsid w:val="00304489"/>
    <w:rsid w:val="00351D9F"/>
    <w:rsid w:val="003662C9"/>
    <w:rsid w:val="00370C0B"/>
    <w:rsid w:val="003D5A67"/>
    <w:rsid w:val="00467D72"/>
    <w:rsid w:val="00487EDB"/>
    <w:rsid w:val="004907BC"/>
    <w:rsid w:val="004937F4"/>
    <w:rsid w:val="004962DE"/>
    <w:rsid w:val="00496858"/>
    <w:rsid w:val="004E5694"/>
    <w:rsid w:val="005049A5"/>
    <w:rsid w:val="005523E3"/>
    <w:rsid w:val="00563595"/>
    <w:rsid w:val="00575D54"/>
    <w:rsid w:val="0058449E"/>
    <w:rsid w:val="00594A06"/>
    <w:rsid w:val="005D4EC3"/>
    <w:rsid w:val="005F20C8"/>
    <w:rsid w:val="00604BBF"/>
    <w:rsid w:val="006324D6"/>
    <w:rsid w:val="006431D7"/>
    <w:rsid w:val="0064541D"/>
    <w:rsid w:val="00665942"/>
    <w:rsid w:val="00686636"/>
    <w:rsid w:val="006A114C"/>
    <w:rsid w:val="006A12C4"/>
    <w:rsid w:val="006C1C93"/>
    <w:rsid w:val="006C5A59"/>
    <w:rsid w:val="0072603C"/>
    <w:rsid w:val="00733B25"/>
    <w:rsid w:val="007352A5"/>
    <w:rsid w:val="00755B9C"/>
    <w:rsid w:val="00761C6B"/>
    <w:rsid w:val="00762898"/>
    <w:rsid w:val="00790FF2"/>
    <w:rsid w:val="007A2E69"/>
    <w:rsid w:val="007F11D5"/>
    <w:rsid w:val="00813B3D"/>
    <w:rsid w:val="00814A4D"/>
    <w:rsid w:val="008203E2"/>
    <w:rsid w:val="00857922"/>
    <w:rsid w:val="00864D69"/>
    <w:rsid w:val="0087649F"/>
    <w:rsid w:val="009004C6"/>
    <w:rsid w:val="00947BDD"/>
    <w:rsid w:val="009517A3"/>
    <w:rsid w:val="00952888"/>
    <w:rsid w:val="00982E3E"/>
    <w:rsid w:val="00985104"/>
    <w:rsid w:val="009938D8"/>
    <w:rsid w:val="009968AE"/>
    <w:rsid w:val="009B196C"/>
    <w:rsid w:val="009B2A6F"/>
    <w:rsid w:val="00A219C0"/>
    <w:rsid w:val="00A24B75"/>
    <w:rsid w:val="00A2551A"/>
    <w:rsid w:val="00A9543A"/>
    <w:rsid w:val="00AE1C61"/>
    <w:rsid w:val="00B7683D"/>
    <w:rsid w:val="00BF2B2E"/>
    <w:rsid w:val="00BF498B"/>
    <w:rsid w:val="00C246DC"/>
    <w:rsid w:val="00C32A17"/>
    <w:rsid w:val="00C54C09"/>
    <w:rsid w:val="00C970C2"/>
    <w:rsid w:val="00C971A3"/>
    <w:rsid w:val="00CC4AD0"/>
    <w:rsid w:val="00D059B6"/>
    <w:rsid w:val="00D062F0"/>
    <w:rsid w:val="00D21061"/>
    <w:rsid w:val="00D36A60"/>
    <w:rsid w:val="00D57D80"/>
    <w:rsid w:val="00DB01CD"/>
    <w:rsid w:val="00DC0F37"/>
    <w:rsid w:val="00DD119D"/>
    <w:rsid w:val="00DF75F2"/>
    <w:rsid w:val="00E0249C"/>
    <w:rsid w:val="00E046B2"/>
    <w:rsid w:val="00E40AEB"/>
    <w:rsid w:val="00E42058"/>
    <w:rsid w:val="00E42788"/>
    <w:rsid w:val="00E828FE"/>
    <w:rsid w:val="00E86BEA"/>
    <w:rsid w:val="00EC0F8C"/>
    <w:rsid w:val="00EE05AE"/>
    <w:rsid w:val="00EF4CF9"/>
    <w:rsid w:val="00F34F90"/>
    <w:rsid w:val="00F35AA6"/>
    <w:rsid w:val="00F56E2F"/>
    <w:rsid w:val="00F75014"/>
    <w:rsid w:val="00F957F3"/>
    <w:rsid w:val="00FA079B"/>
    <w:rsid w:val="00FA0EF8"/>
    <w:rsid w:val="00FB0FE8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5792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57922"/>
  </w:style>
  <w:style w:type="character" w:customStyle="1" w:styleId="a3">
    <w:name w:val="Символ нумерации"/>
    <w:rsid w:val="00857922"/>
  </w:style>
  <w:style w:type="paragraph" w:customStyle="1" w:styleId="a4">
    <w:name w:val="Заголовок"/>
    <w:basedOn w:val="a"/>
    <w:next w:val="a5"/>
    <w:rsid w:val="0085792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857922"/>
    <w:pPr>
      <w:spacing w:after="120"/>
    </w:pPr>
  </w:style>
  <w:style w:type="paragraph" w:styleId="a6">
    <w:name w:val="List"/>
    <w:basedOn w:val="a5"/>
    <w:rsid w:val="00857922"/>
    <w:rPr>
      <w:rFonts w:cs="Mangal"/>
    </w:rPr>
  </w:style>
  <w:style w:type="paragraph" w:customStyle="1" w:styleId="11">
    <w:name w:val="Название1"/>
    <w:basedOn w:val="a"/>
    <w:rsid w:val="008579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792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857922"/>
    <w:pPr>
      <w:suppressLineNumbers/>
    </w:pPr>
  </w:style>
  <w:style w:type="paragraph" w:customStyle="1" w:styleId="a8">
    <w:name w:val="Заголовок таблицы"/>
    <w:basedOn w:val="a7"/>
    <w:rsid w:val="0085792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B1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196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B1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B196C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64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4D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6841-CB63-465A-AD5A-2E62FC21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2024-05-03T05:31:00Z</cp:lastPrinted>
  <dcterms:created xsi:type="dcterms:W3CDTF">2024-05-06T08:19:00Z</dcterms:created>
  <dcterms:modified xsi:type="dcterms:W3CDTF">2024-05-06T08:19:00Z</dcterms:modified>
</cp:coreProperties>
</file>