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6" w:rsidRPr="00975324" w:rsidRDefault="00123F86" w:rsidP="00123F86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86" w:rsidRPr="00975324" w:rsidRDefault="00123F86" w:rsidP="00123F86">
      <w:pPr>
        <w:spacing w:after="0" w:line="240" w:lineRule="atLeast"/>
        <w:rPr>
          <w:rFonts w:eastAsia="Times New Roman" w:cs="Times New Roman"/>
        </w:rPr>
      </w:pPr>
    </w:p>
    <w:p w:rsidR="00123F86" w:rsidRPr="00975324" w:rsidRDefault="00123F86" w:rsidP="00123F8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23F86" w:rsidRPr="00975324" w:rsidRDefault="00123F86" w:rsidP="00123F8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23F86" w:rsidRPr="00975324" w:rsidRDefault="00123F86" w:rsidP="00123F8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123F86" w:rsidRPr="00975324" w:rsidRDefault="00123F86" w:rsidP="00123F86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0467A5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0467A5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0467A5" w:rsidRPr="00975324">
        <w:rPr>
          <w:rFonts w:ascii="Times New Roman" w:eastAsia="Times New Roman" w:hAnsi="Times New Roman" w:cs="Times New Roman"/>
        </w:rPr>
        <w:fldChar w:fldCharType="end"/>
      </w:r>
    </w:p>
    <w:p w:rsidR="00123F86" w:rsidRPr="00975324" w:rsidRDefault="00123F86" w:rsidP="00123F8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23F86" w:rsidRPr="00975324" w:rsidRDefault="00123F86" w:rsidP="0012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 w:rsidR="00031283">
        <w:rPr>
          <w:rFonts w:ascii="Times New Roman" w:eastAsia="Times New Roman" w:hAnsi="Times New Roman" w:cs="Times New Roman"/>
          <w:b/>
          <w:sz w:val="32"/>
          <w:szCs w:val="32"/>
        </w:rPr>
        <w:t xml:space="preserve"> №</w:t>
      </w:r>
      <w:r w:rsidR="00070452">
        <w:rPr>
          <w:rFonts w:ascii="Times New Roman" w:eastAsia="Times New Roman" w:hAnsi="Times New Roman" w:cs="Times New Roman"/>
          <w:b/>
          <w:sz w:val="32"/>
          <w:szCs w:val="32"/>
        </w:rPr>
        <w:t xml:space="preserve"> 30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на проект решения </w:t>
      </w:r>
      <w:proofErr w:type="spellStart"/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>Вятскополянской</w:t>
      </w:r>
      <w:proofErr w:type="spellEnd"/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городской Думы 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>«О бюджете муниципального образования городского округа город Вятские Поляны Кировской области на 202</w:t>
      </w:r>
      <w:r w:rsidR="00CD5FD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 и на плановый период 202</w:t>
      </w:r>
      <w:r w:rsidR="00CD5FD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и 202</w:t>
      </w:r>
      <w:r w:rsidR="00CD5FD6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годов» 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1B95" w:rsidRPr="00975324" w:rsidRDefault="004C1B95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23F86" w:rsidRPr="00975324" w:rsidRDefault="00123F86" w:rsidP="0012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="00434BF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ноября 20</w:t>
      </w:r>
      <w:r w:rsidR="00CC04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5F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D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C" w:rsidRPr="00532FF7" w:rsidRDefault="00F9365C" w:rsidP="00F9365C">
      <w:pPr>
        <w:pStyle w:val="aa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2FF7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F9365C" w:rsidRPr="00297229" w:rsidRDefault="00F9365C" w:rsidP="00F9365C">
      <w:pPr>
        <w:pStyle w:val="aa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365C" w:rsidRPr="002F67F5" w:rsidRDefault="00F9365C" w:rsidP="00F93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</w:t>
      </w:r>
      <w:proofErr w:type="spellStart"/>
      <w:r w:rsidRPr="002F67F5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«О бюджете муниципального образования городского округа город Вятские Поляны Кировской области на 2024 год и на плановый период 2025 и 2026 годов» подготовлено в соответствии с Бюджетным кодексом Российской Федерации (далее – Бюджетный кодекс РФ), Положением о бюджетном процессе в муниципальном образовании городской округ город Вятские Поляны Кировской области</w:t>
      </w:r>
      <w:proofErr w:type="gram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Pr="002F67F5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от 06.11.2013 № 69</w:t>
      </w:r>
      <w:r w:rsidR="003107C5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контрольно-счетной комиссии муниципального образования городского округа город Вятские Поляны Кировской области, утвержденным решением </w:t>
      </w:r>
      <w:proofErr w:type="spellStart"/>
      <w:r w:rsidRPr="002F67F5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от 2.12.2011 № 129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правовыми актами муниципального образования.</w:t>
      </w:r>
    </w:p>
    <w:p w:rsidR="00F9365C" w:rsidRPr="002F67F5" w:rsidRDefault="00F9365C" w:rsidP="00F93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заключения проведена оценка соблюдения нормативных правовых актов, методических материалов и иных документов, составляющих основу формирования городского бюджета. </w:t>
      </w:r>
    </w:p>
    <w:p w:rsidR="00F9365C" w:rsidRPr="002F67F5" w:rsidRDefault="00F9365C" w:rsidP="00F9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решения представлен в контрольно-счетную комиссию для проведения экспертизы 15.11.202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сроки, установленные статьями 26, 28 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>Положения о бюджетном процессе</w:t>
      </w: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9365C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365C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365C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365C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365C" w:rsidRPr="00327540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2. </w:t>
      </w:r>
      <w:r w:rsidRPr="00327540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параметры прогноза исходных макроэкономических показателей для составления проекта городского бюджета</w:t>
      </w:r>
    </w:p>
    <w:p w:rsidR="00F9365C" w:rsidRPr="00975324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365C" w:rsidRPr="00975324" w:rsidRDefault="00F9365C" w:rsidP="00F93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Параметры прогноза социально-экономического развития города Вятские Поляны на 2024-2026 годы разработаны в двух вариантах: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консервативному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 вариант) и базовому (2 вариант). Базовый вариант прогноза взят за основу составления проекта бюджета города Вятские Поляны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5C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исходных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макроэкономических показателей 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городского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приняты следующие показатели:</w:t>
      </w:r>
    </w:p>
    <w:p w:rsidR="00F9365C" w:rsidRPr="002C1BDB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"/>
        <w:tblW w:w="0" w:type="auto"/>
        <w:tblLayout w:type="fixed"/>
        <w:tblLook w:val="04A0"/>
      </w:tblPr>
      <w:tblGrid>
        <w:gridCol w:w="3250"/>
        <w:gridCol w:w="1081"/>
        <w:gridCol w:w="1081"/>
        <w:gridCol w:w="1075"/>
        <w:gridCol w:w="992"/>
        <w:gridCol w:w="939"/>
        <w:gridCol w:w="1153"/>
      </w:tblGrid>
      <w:tr w:rsidR="00F9365C" w:rsidTr="00031283">
        <w:tc>
          <w:tcPr>
            <w:tcW w:w="3250" w:type="dxa"/>
          </w:tcPr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081" w:type="dxa"/>
          </w:tcPr>
          <w:p w:rsidR="00F9365C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  <w:r w:rsidRPr="00FF41F0">
              <w:rPr>
                <w:rFonts w:ascii="Times New Roman" w:hAnsi="Times New Roman"/>
                <w:b/>
              </w:rPr>
              <w:t xml:space="preserve"> </w:t>
            </w:r>
          </w:p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81" w:type="dxa"/>
          </w:tcPr>
          <w:p w:rsidR="00F9365C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FF41F0">
              <w:rPr>
                <w:rFonts w:ascii="Times New Roman" w:hAnsi="Times New Roman"/>
                <w:b/>
              </w:rPr>
              <w:t xml:space="preserve"> </w:t>
            </w:r>
          </w:p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75" w:type="dxa"/>
          </w:tcPr>
          <w:p w:rsidR="00F9365C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FF41F0">
              <w:rPr>
                <w:rFonts w:ascii="Times New Roman" w:hAnsi="Times New Roman"/>
                <w:b/>
              </w:rPr>
              <w:t xml:space="preserve"> </w:t>
            </w:r>
          </w:p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</w:tcPr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39" w:type="dxa"/>
          </w:tcPr>
          <w:p w:rsidR="00F9365C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FF41F0">
              <w:rPr>
                <w:rFonts w:ascii="Times New Roman" w:hAnsi="Times New Roman"/>
                <w:b/>
              </w:rPr>
              <w:t xml:space="preserve"> </w:t>
            </w:r>
          </w:p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53" w:type="dxa"/>
          </w:tcPr>
          <w:p w:rsidR="00F9365C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F9365C" w:rsidTr="00031283">
        <w:tc>
          <w:tcPr>
            <w:tcW w:w="3250" w:type="dxa"/>
          </w:tcPr>
          <w:p w:rsidR="00F9365C" w:rsidRPr="00FF41F0" w:rsidRDefault="00F9365C" w:rsidP="00031283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F9365C" w:rsidRPr="00FF41F0" w:rsidRDefault="00F9365C" w:rsidP="000312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081" w:type="dxa"/>
          </w:tcPr>
          <w:p w:rsidR="00F9365C" w:rsidRPr="00FF41F0" w:rsidRDefault="00F9365C" w:rsidP="00031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075" w:type="dxa"/>
          </w:tcPr>
          <w:p w:rsidR="00F9365C" w:rsidRDefault="00F9365C" w:rsidP="00031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084" w:type="dxa"/>
            <w:gridSpan w:val="3"/>
          </w:tcPr>
          <w:p w:rsidR="00F9365C" w:rsidRPr="00FF41F0" w:rsidRDefault="00F9365C" w:rsidP="000312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</w:t>
            </w:r>
          </w:p>
        </w:tc>
      </w:tr>
      <w:tr w:rsidR="00F9365C" w:rsidTr="00031283">
        <w:trPr>
          <w:trHeight w:val="193"/>
        </w:trPr>
        <w:tc>
          <w:tcPr>
            <w:tcW w:w="3250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204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204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81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204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5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39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53" w:type="dxa"/>
          </w:tcPr>
          <w:p w:rsidR="00F9365C" w:rsidRPr="00A22041" w:rsidRDefault="00F9365C" w:rsidP="000312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Индекс потребительских цен (уровень инфляции), %</w:t>
            </w:r>
          </w:p>
        </w:tc>
        <w:tc>
          <w:tcPr>
            <w:tcW w:w="1081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81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1075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992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939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104,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104,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Оборот организаций по всем видам деятельности по полному кругу,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14606,4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15965,0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16316,2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16724,1</w:t>
            </w: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17175,6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17656,6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F9365C" w:rsidTr="00031283">
        <w:trPr>
          <w:trHeight w:val="842"/>
        </w:trPr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 в расчете на одного работника,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27936,1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30854,9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34760,0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36816,6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39317,5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41856,2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106,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Фонд оплаты труда,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3506,8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3767,0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4377,2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4653,0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4992,6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5342,1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Прибыль прибыльных предприятий, с учетом предприятий сельского хозяйства, млн</w:t>
            </w:r>
            <w:proofErr w:type="gramStart"/>
            <w:r w:rsidRPr="00CD2CF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2CFE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1164,4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1134,2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1127,3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751,9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946,3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1104,4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Остаточная балансовая стоимость основных фондов на конец года,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3092,1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3278,7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3250,6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3246,7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3236,8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Объем оборота розничной торговли,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5346,8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5871,1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5833,8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6209,2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6579,0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6964,5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Объем платных услуг населению,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1495,1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1577,7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1664,9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1763,8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F9365C" w:rsidTr="00031283">
        <w:tc>
          <w:tcPr>
            <w:tcW w:w="3250" w:type="dxa"/>
          </w:tcPr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Оборот малых предприятий (с учетом </w:t>
            </w:r>
            <w:proofErr w:type="spellStart"/>
            <w:r w:rsidRPr="00CD2CFE">
              <w:rPr>
                <w:rFonts w:ascii="Times New Roman" w:hAnsi="Times New Roman"/>
                <w:sz w:val="20"/>
                <w:szCs w:val="20"/>
              </w:rPr>
              <w:t>микропредприятий</w:t>
            </w:r>
            <w:proofErr w:type="spellEnd"/>
            <w:r w:rsidRPr="00CD2CFE">
              <w:rPr>
                <w:rFonts w:ascii="Times New Roman" w:hAnsi="Times New Roman"/>
                <w:sz w:val="20"/>
                <w:szCs w:val="20"/>
              </w:rPr>
              <w:t>) млн. руб.</w:t>
            </w:r>
          </w:p>
          <w:p w:rsidR="00F9365C" w:rsidRPr="00CD2CFE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4645,2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1081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4005,5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17BDA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075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4078,6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4151,7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939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4246,5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153" w:type="dxa"/>
          </w:tcPr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4355,9</w:t>
            </w: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9D5980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</w:tbl>
    <w:p w:rsidR="00F9365C" w:rsidRPr="0054543E" w:rsidRDefault="00F9365C" w:rsidP="00F9365C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организаций по всем видам деятельности по полному кругу спрогнозирован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16724,1 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что выше ожидаемого уровня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2,5%.</w:t>
      </w:r>
    </w:p>
    <w:p w:rsidR="00F9365C" w:rsidRPr="0054543E" w:rsidRDefault="00F9365C" w:rsidP="00F9365C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рибыль прибыльных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прогнозируется с ростом к оценке 2023 года на 1,2% и составит 1127,3 млн.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F56CA1">
        <w:rPr>
          <w:rFonts w:ascii="Times New Roman" w:hAnsi="Times New Roman"/>
          <w:bCs/>
          <w:sz w:val="28"/>
          <w:szCs w:val="28"/>
        </w:rPr>
        <w:t>онд оплаты труда в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году планируется в размере </w:t>
      </w:r>
      <w:r>
        <w:rPr>
          <w:rFonts w:ascii="Times New Roman" w:hAnsi="Times New Roman"/>
          <w:bCs/>
          <w:sz w:val="28"/>
          <w:szCs w:val="28"/>
        </w:rPr>
        <w:t>4653,0</w:t>
      </w:r>
      <w:r w:rsidRPr="00F56CA1">
        <w:rPr>
          <w:rFonts w:ascii="Times New Roman" w:hAnsi="Times New Roman"/>
          <w:bCs/>
          <w:sz w:val="28"/>
          <w:szCs w:val="28"/>
        </w:rPr>
        <w:t xml:space="preserve"> млн.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6CA1">
        <w:rPr>
          <w:rFonts w:ascii="Times New Roman" w:hAnsi="Times New Roman"/>
          <w:bCs/>
          <w:sz w:val="28"/>
          <w:szCs w:val="28"/>
        </w:rPr>
        <w:t>руб. и увеличит</w:t>
      </w:r>
      <w:r>
        <w:rPr>
          <w:rFonts w:ascii="Times New Roman" w:hAnsi="Times New Roman"/>
          <w:bCs/>
          <w:sz w:val="28"/>
          <w:szCs w:val="28"/>
        </w:rPr>
        <w:t>ся к ожидаемой оценке 2023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года на </w:t>
      </w:r>
      <w:r>
        <w:rPr>
          <w:rFonts w:ascii="Times New Roman" w:hAnsi="Times New Roman"/>
          <w:bCs/>
          <w:sz w:val="28"/>
          <w:szCs w:val="28"/>
        </w:rPr>
        <w:t>6,3</w:t>
      </w:r>
      <w:r w:rsidRPr="00F56CA1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 xml:space="preserve">. Среднемесячная номинальная начисленная заработная плата работников организаций увеличиться с 34760,0 руб. по оценке 2023 года до 41856,2 руб. по прогнозу 2026 года. </w:t>
      </w:r>
    </w:p>
    <w:p w:rsidR="00F9365C" w:rsidRPr="00F56CA1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Соответственно рост фонда начисленной заработной платы прогнозируется на уровне: 106,3% в 2024 году, 107,3% в 2025 году, 107% в 2026 году.</w:t>
      </w:r>
    </w:p>
    <w:p w:rsidR="00F9365C" w:rsidRPr="00975324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нвестиции в основной капитал прогнозируются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1044,8 млн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снижением на 11% к уровню 2023 года.</w:t>
      </w:r>
    </w:p>
    <w:p w:rsidR="00F9365C" w:rsidRPr="00975324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ндекс потребительских цен (уровень инфляции) планируется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105,7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65C" w:rsidRPr="00CD2CFE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FE">
        <w:rPr>
          <w:rFonts w:ascii="Times New Roman" w:hAnsi="Times New Roman"/>
          <w:sz w:val="28"/>
          <w:szCs w:val="28"/>
          <w:lang w:eastAsia="ru-RU"/>
        </w:rPr>
        <w:t xml:space="preserve">Остаточная балансовая стоимость основных фондов </w:t>
      </w:r>
      <w:proofErr w:type="gramStart"/>
      <w:r w:rsidRPr="00CD2CFE"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 w:rsidRPr="00CD2CFE">
        <w:rPr>
          <w:rFonts w:ascii="Times New Roman" w:hAnsi="Times New Roman"/>
          <w:sz w:val="28"/>
          <w:szCs w:val="28"/>
          <w:lang w:eastAsia="ru-RU"/>
        </w:rPr>
        <w:t xml:space="preserve"> 2024 года планируется с</w:t>
      </w:r>
      <w:r w:rsidR="003107C5">
        <w:rPr>
          <w:rFonts w:ascii="Times New Roman" w:hAnsi="Times New Roman"/>
          <w:sz w:val="28"/>
          <w:szCs w:val="28"/>
          <w:lang w:eastAsia="ru-RU"/>
        </w:rPr>
        <w:t>о снижением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 к 2023 году на 0,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D2CFE">
        <w:rPr>
          <w:rFonts w:ascii="Times New Roman" w:hAnsi="Times New Roman"/>
          <w:sz w:val="28"/>
          <w:szCs w:val="28"/>
          <w:lang w:eastAsia="ru-RU"/>
        </w:rPr>
        <w:t>% и составит 3250,6 млн. руб.</w:t>
      </w:r>
    </w:p>
    <w:p w:rsidR="00F9365C" w:rsidRPr="00CD2CFE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CFE">
        <w:rPr>
          <w:rFonts w:ascii="Times New Roman" w:hAnsi="Times New Roman"/>
          <w:sz w:val="28"/>
          <w:szCs w:val="28"/>
          <w:lang w:eastAsia="ru-RU" w:bidi="en-US"/>
        </w:rPr>
        <w:t>В прогнозе социально-экономического развития города Вятские Поляны на 2024 год и на плановый период сохраняются тенденции развития экономики.</w:t>
      </w:r>
    </w:p>
    <w:p w:rsidR="00F9365C" w:rsidRPr="008237E1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7E1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8237E1">
        <w:rPr>
          <w:rFonts w:ascii="Times New Roman" w:hAnsi="Times New Roman"/>
          <w:bCs/>
          <w:sz w:val="28"/>
          <w:szCs w:val="28"/>
        </w:rPr>
        <w:t xml:space="preserve"> году отмечается рост объема отгруженных товаров собственного производства, выполненных работ и услуг собственными силами по отрасли «Промышленность»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7E1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5,3</w:t>
      </w:r>
      <w:r w:rsidRPr="008237E1">
        <w:rPr>
          <w:rFonts w:ascii="Times New Roman" w:hAnsi="Times New Roman"/>
          <w:bCs/>
          <w:sz w:val="28"/>
          <w:szCs w:val="28"/>
        </w:rPr>
        <w:t>% к оценке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237E1">
        <w:rPr>
          <w:rFonts w:ascii="Times New Roman" w:hAnsi="Times New Roman"/>
          <w:bCs/>
          <w:sz w:val="28"/>
          <w:szCs w:val="28"/>
        </w:rPr>
        <w:t xml:space="preserve"> года в сопоставимых ценах, который составит </w:t>
      </w:r>
      <w:r>
        <w:rPr>
          <w:rFonts w:ascii="Times New Roman" w:hAnsi="Times New Roman"/>
          <w:bCs/>
          <w:sz w:val="28"/>
          <w:szCs w:val="28"/>
        </w:rPr>
        <w:t>8265,4</w:t>
      </w:r>
      <w:r w:rsidRPr="008237E1">
        <w:rPr>
          <w:rFonts w:ascii="Times New Roman" w:hAnsi="Times New Roman"/>
          <w:bCs/>
          <w:sz w:val="28"/>
          <w:szCs w:val="28"/>
        </w:rPr>
        <w:t xml:space="preserve"> млн. руб. Наибольший удельный вес в данном показателе занимают «Обрабатывающие производства» – </w:t>
      </w:r>
      <w:r>
        <w:rPr>
          <w:rFonts w:ascii="Times New Roman" w:hAnsi="Times New Roman"/>
          <w:bCs/>
          <w:sz w:val="28"/>
          <w:szCs w:val="28"/>
        </w:rPr>
        <w:t>90,3</w:t>
      </w:r>
      <w:r w:rsidRPr="008237E1">
        <w:rPr>
          <w:rFonts w:ascii="Times New Roman" w:hAnsi="Times New Roman"/>
          <w:bCs/>
          <w:sz w:val="28"/>
          <w:szCs w:val="28"/>
        </w:rPr>
        <w:t>%.</w:t>
      </w:r>
    </w:p>
    <w:p w:rsidR="00F9365C" w:rsidRPr="00E1183B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Оборот розничной торговли в 2024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году планируется в размере </w:t>
      </w:r>
      <w:r>
        <w:rPr>
          <w:rFonts w:ascii="Times New Roman" w:hAnsi="Times New Roman"/>
          <w:color w:val="000000"/>
          <w:sz w:val="28"/>
          <w:szCs w:val="28"/>
        </w:rPr>
        <w:t>6209,2 млн. руб.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ростом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в сопоставимых ценах к предыдущему году на </w:t>
      </w:r>
      <w:r>
        <w:rPr>
          <w:rFonts w:ascii="Times New Roman" w:hAnsi="Times New Roman"/>
          <w:color w:val="000000"/>
          <w:sz w:val="28"/>
          <w:szCs w:val="28"/>
        </w:rPr>
        <w:t>5,8</w:t>
      </w:r>
      <w:r w:rsidRPr="00F56CA1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859D4">
        <w:rPr>
          <w:rFonts w:ascii="Times New Roman" w:hAnsi="Times New Roman"/>
          <w:sz w:val="28"/>
          <w:szCs w:val="28"/>
        </w:rPr>
        <w:t xml:space="preserve">Оборот общественного питания прогнозируется в объеме </w:t>
      </w:r>
      <w:r>
        <w:rPr>
          <w:rFonts w:ascii="Times New Roman" w:hAnsi="Times New Roman"/>
          <w:sz w:val="28"/>
          <w:szCs w:val="28"/>
        </w:rPr>
        <w:t>272,7</w:t>
      </w:r>
      <w:r w:rsidRPr="003859D4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9D4">
        <w:rPr>
          <w:rFonts w:ascii="Times New Roman" w:hAnsi="Times New Roman"/>
          <w:sz w:val="28"/>
          <w:szCs w:val="28"/>
        </w:rPr>
        <w:t xml:space="preserve">руб. с ростом к предыдущему году на </w:t>
      </w:r>
      <w:r>
        <w:rPr>
          <w:rFonts w:ascii="Times New Roman" w:hAnsi="Times New Roman"/>
          <w:sz w:val="28"/>
          <w:szCs w:val="28"/>
        </w:rPr>
        <w:t>0,4</w:t>
      </w:r>
      <w:r w:rsidRPr="003859D4">
        <w:rPr>
          <w:rFonts w:ascii="Times New Roman" w:hAnsi="Times New Roman"/>
          <w:sz w:val="28"/>
          <w:szCs w:val="28"/>
        </w:rPr>
        <w:t>%, объем платных услуг населению в сопоставимых ценах увеличится в 202</w:t>
      </w:r>
      <w:r>
        <w:rPr>
          <w:rFonts w:ascii="Times New Roman" w:hAnsi="Times New Roman"/>
          <w:sz w:val="28"/>
          <w:szCs w:val="28"/>
        </w:rPr>
        <w:t>4</w:t>
      </w:r>
      <w:r w:rsidRPr="003859D4">
        <w:rPr>
          <w:rFonts w:ascii="Times New Roman" w:hAnsi="Times New Roman"/>
          <w:sz w:val="28"/>
          <w:szCs w:val="28"/>
        </w:rPr>
        <w:t xml:space="preserve"> году</w:t>
      </w:r>
      <w:r w:rsidRPr="00E118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0,5</w:t>
      </w:r>
      <w:r w:rsidRPr="00E1183B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1577,7</w:t>
      </w:r>
      <w:r w:rsidRPr="00E1183B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83B">
        <w:rPr>
          <w:rFonts w:ascii="Times New Roman" w:hAnsi="Times New Roman"/>
          <w:sz w:val="28"/>
          <w:szCs w:val="28"/>
        </w:rPr>
        <w:t>руб.</w:t>
      </w:r>
      <w:proofErr w:type="gramEnd"/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906">
        <w:rPr>
          <w:rFonts w:ascii="Times New Roman" w:hAnsi="Times New Roman"/>
          <w:sz w:val="28"/>
          <w:szCs w:val="28"/>
          <w:lang w:eastAsia="ru-RU"/>
        </w:rPr>
        <w:t xml:space="preserve">Оборот малых предприятий прогнозируется с </w:t>
      </w:r>
      <w:r>
        <w:rPr>
          <w:rFonts w:ascii="Times New Roman" w:hAnsi="Times New Roman"/>
          <w:sz w:val="28"/>
          <w:szCs w:val="28"/>
          <w:lang w:eastAsia="ru-RU"/>
        </w:rPr>
        <w:t>небольшим увеличением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к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году на 1,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% и планируется в размере </w:t>
      </w:r>
      <w:r>
        <w:rPr>
          <w:rFonts w:ascii="Times New Roman" w:hAnsi="Times New Roman"/>
          <w:sz w:val="28"/>
          <w:szCs w:val="28"/>
          <w:lang w:eastAsia="ru-RU"/>
        </w:rPr>
        <w:t>4151,7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большинства показателей базового варианта прогноза, характеризующих социально-экономическое развитие города Вятские Поляны в 2024-2026 годах, свидетельству</w:t>
      </w:r>
      <w:r w:rsidR="009F658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об умеренных темпах роста экономики и позитивных тенденциях формирования налогооблагаемой базы и поступлений в бюджет муниципального образования.</w:t>
      </w:r>
    </w:p>
    <w:p w:rsidR="00F9365C" w:rsidRDefault="00F9365C" w:rsidP="00F9365C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365C" w:rsidRDefault="00F9365C" w:rsidP="00F9365C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365C" w:rsidRPr="003B42DC" w:rsidRDefault="00F9365C" w:rsidP="00F9365C">
      <w:pPr>
        <w:pStyle w:val="aa"/>
        <w:numPr>
          <w:ilvl w:val="0"/>
          <w:numId w:val="26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2DC">
        <w:rPr>
          <w:rFonts w:ascii="Times New Roman" w:hAnsi="Times New Roman"/>
          <w:b/>
          <w:sz w:val="28"/>
          <w:szCs w:val="28"/>
        </w:rPr>
        <w:lastRenderedPageBreak/>
        <w:t>Основные параметры и характеристики городского бюджета на 2024-2026 годы</w:t>
      </w:r>
    </w:p>
    <w:p w:rsidR="00F9365C" w:rsidRDefault="00F9365C" w:rsidP="00F9365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65C" w:rsidRDefault="00F9365C" w:rsidP="00F9365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15C92">
        <w:rPr>
          <w:rFonts w:ascii="Times New Roman" w:eastAsia="Calibri" w:hAnsi="Times New Roman" w:cs="Times New Roman"/>
          <w:b/>
          <w:sz w:val="28"/>
          <w:szCs w:val="28"/>
        </w:rPr>
        <w:t>3.1.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параметры городского бюджета в 2023-2026 годах представлены в таблице:</w:t>
      </w:r>
    </w:p>
    <w:tbl>
      <w:tblPr>
        <w:tblW w:w="9462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410"/>
        <w:gridCol w:w="1843"/>
        <w:gridCol w:w="1701"/>
        <w:gridCol w:w="1753"/>
      </w:tblGrid>
      <w:tr w:rsidR="00F9365C" w:rsidRPr="001B7EC9" w:rsidTr="00031283">
        <w:trPr>
          <w:cantSplit/>
          <w:trHeight w:val="346"/>
          <w:jc w:val="center"/>
        </w:trPr>
        <w:tc>
          <w:tcPr>
            <w:tcW w:w="1755" w:type="dxa"/>
            <w:vMerge w:val="restart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В-П городской Думы от 04.10.2023</w:t>
            </w:r>
            <w:proofErr w:type="gramEnd"/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F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24/220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01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53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F9365C" w:rsidRPr="001B7EC9" w:rsidTr="00031283">
        <w:trPr>
          <w:cantSplit/>
          <w:trHeight w:val="226"/>
          <w:jc w:val="center"/>
        </w:trPr>
        <w:tc>
          <w:tcPr>
            <w:tcW w:w="1755" w:type="dxa"/>
            <w:vMerge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843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753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9365C" w:rsidRPr="001B7EC9" w:rsidTr="00031283">
        <w:trPr>
          <w:trHeight w:val="377"/>
          <w:jc w:val="center"/>
        </w:trPr>
        <w:tc>
          <w:tcPr>
            <w:tcW w:w="1755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2410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1165233,0</w:t>
            </w:r>
          </w:p>
        </w:tc>
        <w:tc>
          <w:tcPr>
            <w:tcW w:w="1843" w:type="dxa"/>
            <w:vAlign w:val="center"/>
          </w:tcPr>
          <w:p w:rsidR="00F9365C" w:rsidRPr="00C0231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843638,6</w:t>
            </w:r>
          </w:p>
        </w:tc>
        <w:tc>
          <w:tcPr>
            <w:tcW w:w="1701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746623,4</w:t>
            </w:r>
          </w:p>
        </w:tc>
        <w:tc>
          <w:tcPr>
            <w:tcW w:w="1753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734676,5</w:t>
            </w:r>
          </w:p>
        </w:tc>
      </w:tr>
      <w:tr w:rsidR="00F9365C" w:rsidRPr="001B7EC9" w:rsidTr="00031283">
        <w:trPr>
          <w:trHeight w:val="377"/>
          <w:jc w:val="center"/>
        </w:trPr>
        <w:tc>
          <w:tcPr>
            <w:tcW w:w="1755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логовые и неналоговые </w:t>
            </w:r>
          </w:p>
        </w:tc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319946,3</w:t>
            </w:r>
          </w:p>
        </w:tc>
        <w:tc>
          <w:tcPr>
            <w:tcW w:w="1843" w:type="dxa"/>
            <w:vAlign w:val="center"/>
          </w:tcPr>
          <w:p w:rsidR="00F9365C" w:rsidRPr="00C0231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339622,1</w:t>
            </w:r>
          </w:p>
        </w:tc>
        <w:tc>
          <w:tcPr>
            <w:tcW w:w="1701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330613,0</w:t>
            </w:r>
          </w:p>
        </w:tc>
        <w:tc>
          <w:tcPr>
            <w:tcW w:w="1753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343379,0</w:t>
            </w:r>
          </w:p>
        </w:tc>
      </w:tr>
      <w:tr w:rsidR="00F9365C" w:rsidRPr="001B7EC9" w:rsidTr="00031283">
        <w:trPr>
          <w:trHeight w:val="345"/>
          <w:jc w:val="center"/>
        </w:trPr>
        <w:tc>
          <w:tcPr>
            <w:tcW w:w="1755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езвозмездные поступления</w:t>
            </w:r>
          </w:p>
        </w:tc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845286,7</w:t>
            </w:r>
          </w:p>
        </w:tc>
        <w:tc>
          <w:tcPr>
            <w:tcW w:w="1843" w:type="dxa"/>
            <w:vAlign w:val="center"/>
          </w:tcPr>
          <w:p w:rsidR="00F9365C" w:rsidRPr="00C0231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504016,5</w:t>
            </w:r>
          </w:p>
        </w:tc>
        <w:tc>
          <w:tcPr>
            <w:tcW w:w="1701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416010,4</w:t>
            </w:r>
          </w:p>
        </w:tc>
        <w:tc>
          <w:tcPr>
            <w:tcW w:w="1753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391297,5</w:t>
            </w:r>
          </w:p>
        </w:tc>
      </w:tr>
      <w:tr w:rsidR="00F9365C" w:rsidRPr="001B7EC9" w:rsidTr="00031283">
        <w:trPr>
          <w:trHeight w:val="345"/>
          <w:jc w:val="center"/>
        </w:trPr>
        <w:tc>
          <w:tcPr>
            <w:tcW w:w="1755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сходы</w:t>
            </w:r>
          </w:p>
        </w:tc>
        <w:tc>
          <w:tcPr>
            <w:tcW w:w="2410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1175914,1</w:t>
            </w:r>
          </w:p>
        </w:tc>
        <w:tc>
          <w:tcPr>
            <w:tcW w:w="1843" w:type="dxa"/>
            <w:vAlign w:val="center"/>
          </w:tcPr>
          <w:p w:rsidR="00F9365C" w:rsidRPr="00C0231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848638,6</w:t>
            </w:r>
          </w:p>
        </w:tc>
        <w:tc>
          <w:tcPr>
            <w:tcW w:w="1701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741575,1</w:t>
            </w:r>
          </w:p>
        </w:tc>
        <w:tc>
          <w:tcPr>
            <w:tcW w:w="1753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729628,2</w:t>
            </w:r>
          </w:p>
        </w:tc>
      </w:tr>
      <w:tr w:rsidR="00F9365C" w:rsidRPr="001B7EC9" w:rsidTr="00031283">
        <w:trPr>
          <w:trHeight w:val="90"/>
          <w:jc w:val="center"/>
        </w:trPr>
        <w:tc>
          <w:tcPr>
            <w:tcW w:w="1755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(+) /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(-)</w:t>
            </w:r>
          </w:p>
        </w:tc>
        <w:tc>
          <w:tcPr>
            <w:tcW w:w="2410" w:type="dxa"/>
            <w:vAlign w:val="center"/>
          </w:tcPr>
          <w:p w:rsidR="00F9365C" w:rsidRPr="0029722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-10681,1</w:t>
            </w:r>
          </w:p>
        </w:tc>
        <w:tc>
          <w:tcPr>
            <w:tcW w:w="1843" w:type="dxa"/>
            <w:vAlign w:val="center"/>
          </w:tcPr>
          <w:p w:rsidR="00F9365C" w:rsidRPr="00C0231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-5000,0</w:t>
            </w:r>
          </w:p>
        </w:tc>
        <w:tc>
          <w:tcPr>
            <w:tcW w:w="1701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5048,3</w:t>
            </w:r>
          </w:p>
        </w:tc>
        <w:tc>
          <w:tcPr>
            <w:tcW w:w="1753" w:type="dxa"/>
            <w:vAlign w:val="center"/>
          </w:tcPr>
          <w:p w:rsidR="00F9365C" w:rsidRPr="00804EF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5048,3</w:t>
            </w:r>
          </w:p>
        </w:tc>
      </w:tr>
    </w:tbl>
    <w:p w:rsidR="00F9365C" w:rsidRPr="00297229" w:rsidRDefault="00F9365C" w:rsidP="00F9365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бюджет на 2024 год сформирован с дефицитом в объеме 5000,0 тыс. руб. На период 2025-2026 годов городской бюджет спланирован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5048,3 тыс. руб. ежегодно, что обусловлено необходимостью выполнения условий предоставления и использования бюджетного кредита из областного бюджета для погашения долговых обязательств.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Налоговые и неналоговые доходы в 2024 году по сравнению с плановыми показателями 2023 года увеличиваются на 19675,8 тыс. руб. (или на 6,1%), в 2025 году по отношению к 2024 году уменьшаются на 9009,1 тыс. руб. (или на 2,7%), в 2026 году по сравнению с 2025 годом увеличиваются на 12766,0 тыс. руб. (3,9%).</w:t>
      </w:r>
      <w:proofErr w:type="gramEnd"/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уточненным планом 2023 года в 2024 году безвозмездные поступления снижаются на 341270,2 тыс. руб. (или на 40,4%), в 2025 году снижаются по сравнению с 2024 годом на 88006,1 тыс. руб. (на 17,5%), в 2026 году снижаются по сравнению с 2025 годом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24712,9 тыс. руб. (на 5,9%).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планируемого объема безвозмездных поступлений в 2024 году по сравнению с планом 2023 года обусловлено снижением прогноза поступлений иных межбюджетных трансфертов в 12,7 раз (с 299992,2 тыс. руб. до 23528,9 тыс. руб.). 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городского бюджета на 2024 год предусмотрены в объеме 848638,6 тыс. руб., что на 327275,5 тыс. руб. (или на 27,8%) меньше по сравнению с уточненным планом 2023 года, расходы на 2025 год прогнозируются в сумме 741575,1 тыс. руб., в 2026 году – в сумме 729628,2 тыс. руб.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отмечает, что объемы безвозмездных поступлений в городской бюджет и соответствующих расходов изменятся после принятия областного бюджета на 2024-2026 годы в окончательном варианте и распределения средств областного бюджета между муниципальными образованиями (данная ситуация повторяется ежегодно).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Pr="000956A7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56A7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одновременно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(помимо прочих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представлены: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на 2024 год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предварительные итоги социально-экономического развития муниципального образования за 6 месяцев 2023 года и ожидаемые итоги социально-экономического развития муниципального образования за текущий финансовый год;</w:t>
      </w:r>
    </w:p>
    <w:p w:rsidR="00F9365C" w:rsidRPr="000956A7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ожидаемого исполнения городского бюджета за текущий финансовый год;</w:t>
      </w:r>
    </w:p>
    <w:p w:rsidR="00F9365C" w:rsidRPr="000956A7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проекты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9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90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представленном проекте решения учтены основные направления налоговой и бюджетной политики на 2024-2026 годы: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налогового законодательства;</w:t>
      </w:r>
    </w:p>
    <w:p w:rsidR="00F9365C" w:rsidRPr="008500CC" w:rsidRDefault="00F9365C" w:rsidP="00F9365C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выпадающие доходы городского бюджета в 2024 году в связи с предоставлением налоговых льгот;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расходной части городского бюджета с учетом необходимости реализации региональных проектов, направленных на достижение соответствующих результатов реализации национальных проектов;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бюджетных расходов в рамках реализации муниципальных программ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F9365C" w:rsidRPr="00A426D0" w:rsidRDefault="00F9365C" w:rsidP="00F936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6D0">
        <w:rPr>
          <w:rFonts w:ascii="Times New Roman" w:eastAsia="Calibri" w:hAnsi="Times New Roman" w:cs="Times New Roman"/>
          <w:sz w:val="28"/>
          <w:szCs w:val="28"/>
        </w:rPr>
        <w:t>казначейскому сопровождению подлежат средства:</w:t>
      </w:r>
      <w:r w:rsidRPr="00A426D0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контрактам, контрактам (договорам) муниципальных бюджетных учреждений, заключаемым на сумму 50000,0 тыс. рублей и более, предметом которых является ремонт (за исключением ремонта автомобильных дорог местного значения), капитальный ремонт, реконструкция, в том числе с элементами реставрации, техническое перевооружение и строительство</w:t>
      </w:r>
      <w:r w:rsidR="009F6586">
        <w:rPr>
          <w:rFonts w:ascii="Times New Roman" w:hAnsi="Times New Roman" w:cs="Times New Roman"/>
          <w:sz w:val="28"/>
          <w:szCs w:val="28"/>
        </w:rPr>
        <w:t>;</w:t>
      </w:r>
    </w:p>
    <w:p w:rsidR="00F9365C" w:rsidRDefault="00F9365C" w:rsidP="00F9365C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сохранения действующих мер социальной поддержки населения;</w:t>
      </w:r>
    </w:p>
    <w:p w:rsidR="00F9365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направления долговой политики, в том числе снижение уровня долговой нагрузки городского бюджета.</w:t>
      </w:r>
    </w:p>
    <w:p w:rsidR="00F9365C" w:rsidRPr="00C9042C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822320" w:rsidRDefault="00F9365C" w:rsidP="00F936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223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8223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82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ежегодное создание резервного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в размере 200,0 тыс. руб</w:t>
      </w:r>
      <w:r w:rsidRPr="00822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65C" w:rsidRPr="004D0113" w:rsidRDefault="00F9365C" w:rsidP="00F9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C8611B" w:rsidRDefault="00F9365C" w:rsidP="00F9365C">
      <w:pPr>
        <w:pStyle w:val="aa"/>
        <w:numPr>
          <w:ilvl w:val="0"/>
          <w:numId w:val="2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11B">
        <w:rPr>
          <w:rFonts w:ascii="Times New Roman" w:hAnsi="Times New Roman"/>
          <w:b/>
          <w:sz w:val="28"/>
          <w:szCs w:val="28"/>
        </w:rPr>
        <w:t>Результаты проверки и анализа прогноза доходов городского бюджета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C8611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C8611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C0">
        <w:rPr>
          <w:rFonts w:ascii="Times New Roman" w:hAnsi="Times New Roman" w:cs="Times New Roman"/>
          <w:b/>
          <w:sz w:val="28"/>
          <w:szCs w:val="28"/>
        </w:rPr>
        <w:t>О</w:t>
      </w:r>
      <w:r w:rsidRPr="001B7EC9">
        <w:rPr>
          <w:rFonts w:ascii="Times New Roman" w:hAnsi="Times New Roman" w:cs="Times New Roman"/>
          <w:b/>
          <w:sz w:val="28"/>
          <w:szCs w:val="28"/>
        </w:rPr>
        <w:t xml:space="preserve">бщий объем доходов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пр</w:t>
      </w:r>
      <w:r>
        <w:rPr>
          <w:rFonts w:ascii="Times New Roman" w:hAnsi="Times New Roman" w:cs="Times New Roman"/>
          <w:sz w:val="28"/>
          <w:szCs w:val="28"/>
        </w:rPr>
        <w:t>огнозируется</w:t>
      </w:r>
      <w:r w:rsidRPr="001B7EC9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843638,6</w:t>
      </w:r>
      <w:r w:rsidRPr="0007076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C45681">
        <w:rPr>
          <w:rFonts w:ascii="Times New Roman" w:hAnsi="Times New Roman" w:cs="Times New Roman"/>
          <w:sz w:val="28"/>
          <w:szCs w:val="28"/>
        </w:rPr>
        <w:t>321594</w:t>
      </w:r>
      <w:r w:rsidR="003107C5">
        <w:rPr>
          <w:rFonts w:ascii="Times New Roman" w:hAnsi="Times New Roman" w:cs="Times New Roman"/>
          <w:sz w:val="28"/>
          <w:szCs w:val="28"/>
        </w:rPr>
        <w:t>,</w:t>
      </w:r>
      <w:r w:rsidRPr="00C456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меньше уточненного плана </w:t>
      </w:r>
      <w:r w:rsidRPr="001B7E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Pr="001B7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Уменьшение прогнозируемого объема доходов обусловлено планируемым снижением безвозмездных поступлений.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доходы планируются в сумме </w:t>
      </w:r>
      <w:r>
        <w:rPr>
          <w:rFonts w:ascii="Times New Roman" w:hAnsi="Times New Roman" w:cs="Times New Roman"/>
          <w:sz w:val="28"/>
          <w:szCs w:val="28"/>
        </w:rPr>
        <w:t>746623,4 тыс.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со снижением к 2024 году на 11,5%</w:t>
      </w:r>
      <w:r w:rsidRPr="001B7EC9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734676,5 тыс.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со снижением к 2025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1,6%.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доходной части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24-2026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годах характеризуется следующими данными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567"/>
        <w:gridCol w:w="992"/>
        <w:gridCol w:w="709"/>
        <w:gridCol w:w="992"/>
        <w:gridCol w:w="709"/>
        <w:gridCol w:w="992"/>
        <w:gridCol w:w="709"/>
        <w:gridCol w:w="992"/>
        <w:gridCol w:w="567"/>
      </w:tblGrid>
      <w:tr w:rsidR="00F9365C" w:rsidRPr="00EC5D5C" w:rsidTr="00031283">
        <w:trPr>
          <w:cantSplit/>
          <w:trHeight w:val="346"/>
        </w:trPr>
        <w:tc>
          <w:tcPr>
            <w:tcW w:w="1418" w:type="dxa"/>
            <w:vMerge w:val="restart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gridSpan w:val="2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Первоначальный план </w:t>
            </w:r>
          </w:p>
          <w:p w:rsidR="00F9365C" w:rsidRPr="002A7B3B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3B">
              <w:rPr>
                <w:rFonts w:ascii="Times New Roman" w:hAnsi="Times New Roman" w:cs="Times New Roman"/>
                <w:b/>
                <w:sz w:val="16"/>
                <w:szCs w:val="16"/>
              </w:rPr>
              <w:t>2023 года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(решение В-П городской Думы от 04.10.2023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№24/220)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1559" w:type="dxa"/>
            <w:gridSpan w:val="2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  <w:r w:rsidR="00434B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</w:tr>
      <w:tr w:rsidR="00F9365C" w:rsidRPr="00EC5D5C" w:rsidTr="00031283">
        <w:trPr>
          <w:cantSplit/>
          <w:trHeight w:val="226"/>
        </w:trPr>
        <w:tc>
          <w:tcPr>
            <w:tcW w:w="1418" w:type="dxa"/>
            <w:vMerge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 %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 %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9365C" w:rsidRPr="00EC5D5C" w:rsidTr="00031283">
        <w:trPr>
          <w:trHeight w:val="377"/>
        </w:trPr>
        <w:tc>
          <w:tcPr>
            <w:tcW w:w="1418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278691,7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319946,3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339622,1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330613,0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343379,0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</w:tr>
      <w:tr w:rsidR="00F9365C" w:rsidRPr="00EC5D5C" w:rsidTr="00031283">
        <w:trPr>
          <w:trHeight w:val="345"/>
        </w:trPr>
        <w:tc>
          <w:tcPr>
            <w:tcW w:w="1418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724727,3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845286,7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504016,5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416010,4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391297,5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</w:tr>
      <w:tr w:rsidR="00F9365C" w:rsidRPr="00EC5D5C" w:rsidTr="00031283">
        <w:trPr>
          <w:trHeight w:val="90"/>
        </w:trPr>
        <w:tc>
          <w:tcPr>
            <w:tcW w:w="1418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1003419,0</w:t>
            </w:r>
          </w:p>
        </w:tc>
        <w:tc>
          <w:tcPr>
            <w:tcW w:w="567" w:type="dxa"/>
            <w:vAlign w:val="center"/>
          </w:tcPr>
          <w:p w:rsidR="00F9365C" w:rsidRPr="002A7B3B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B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1165233,0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843638,6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746623,4</w:t>
            </w:r>
          </w:p>
        </w:tc>
        <w:tc>
          <w:tcPr>
            <w:tcW w:w="709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734676,5</w:t>
            </w:r>
          </w:p>
        </w:tc>
        <w:tc>
          <w:tcPr>
            <w:tcW w:w="567" w:type="dxa"/>
            <w:vAlign w:val="center"/>
          </w:tcPr>
          <w:p w:rsidR="00F9365C" w:rsidRPr="00EC5D5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F9365C" w:rsidRPr="00EC5D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E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прогнозируемом периоде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доли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с </w:t>
      </w:r>
      <w:r>
        <w:rPr>
          <w:rFonts w:ascii="Times New Roman" w:hAnsi="Times New Roman" w:cs="Times New Roman"/>
          <w:sz w:val="28"/>
          <w:szCs w:val="28"/>
        </w:rPr>
        <w:t>27,5</w:t>
      </w:r>
      <w:r w:rsidRPr="001B7EC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</w:t>
      </w:r>
      <w:r w:rsidRPr="001B7E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46,7</w:t>
      </w:r>
      <w:r w:rsidRPr="001B7EC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 2026 году при одновременном снижении </w:t>
      </w:r>
      <w:r w:rsidRPr="001B7EC9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безвозмездных поступлений с </w:t>
      </w:r>
      <w:r>
        <w:rPr>
          <w:rFonts w:ascii="Times New Roman" w:hAnsi="Times New Roman" w:cs="Times New Roman"/>
          <w:sz w:val="28"/>
          <w:szCs w:val="28"/>
        </w:rPr>
        <w:t xml:space="preserve">72,5% до 53,3%. </w:t>
      </w:r>
      <w:r w:rsidRPr="00F55119">
        <w:rPr>
          <w:rFonts w:ascii="Times New Roman" w:hAnsi="Times New Roman" w:cs="Times New Roman"/>
          <w:sz w:val="28"/>
          <w:szCs w:val="28"/>
        </w:rPr>
        <w:t xml:space="preserve">Учитывая, что безвозмездные поступления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F55119">
        <w:rPr>
          <w:rFonts w:ascii="Times New Roman" w:hAnsi="Times New Roman" w:cs="Times New Roman"/>
          <w:sz w:val="28"/>
          <w:szCs w:val="28"/>
        </w:rPr>
        <w:t xml:space="preserve"> бюджета будут уточнены после принятия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</w:t>
      </w:r>
      <w:r w:rsidRPr="00F5511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5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F55119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51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51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5119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F55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последующем в течение года, со</w:t>
      </w:r>
      <w:r w:rsidRPr="00F55119">
        <w:rPr>
          <w:rFonts w:ascii="Times New Roman" w:hAnsi="Times New Roman" w:cs="Times New Roman"/>
          <w:sz w:val="28"/>
          <w:szCs w:val="28"/>
        </w:rPr>
        <w:t>отношение доли собственных доходов и безвозмездных поступлений изменится.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доходов структура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характеризуется следующими данными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1345"/>
        <w:gridCol w:w="1065"/>
        <w:gridCol w:w="1134"/>
        <w:gridCol w:w="709"/>
        <w:gridCol w:w="992"/>
        <w:gridCol w:w="709"/>
        <w:gridCol w:w="992"/>
        <w:gridCol w:w="709"/>
        <w:gridCol w:w="992"/>
        <w:gridCol w:w="709"/>
      </w:tblGrid>
      <w:tr w:rsidR="00F9365C" w:rsidTr="00031283">
        <w:tc>
          <w:tcPr>
            <w:tcW w:w="1345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4240E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065" w:type="dxa"/>
          </w:tcPr>
          <w:p w:rsidR="00F9365C" w:rsidRPr="002A7B3B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B3B">
              <w:rPr>
                <w:rFonts w:ascii="Times New Roman" w:hAnsi="Times New Roman"/>
                <w:sz w:val="18"/>
                <w:szCs w:val="18"/>
              </w:rPr>
              <w:t xml:space="preserve">Первоначальный </w:t>
            </w:r>
            <w:r w:rsidRPr="002A7B3B">
              <w:rPr>
                <w:rFonts w:ascii="Times New Roman" w:hAnsi="Times New Roman"/>
                <w:sz w:val="18"/>
                <w:szCs w:val="18"/>
              </w:rPr>
              <w:lastRenderedPageBreak/>
              <w:t>план 2023 года</w:t>
            </w:r>
          </w:p>
        </w:tc>
        <w:tc>
          <w:tcPr>
            <w:tcW w:w="1134" w:type="dxa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BF2">
              <w:rPr>
                <w:rFonts w:ascii="Times New Roman" w:hAnsi="Times New Roman"/>
                <w:sz w:val="18"/>
                <w:szCs w:val="18"/>
              </w:rPr>
              <w:lastRenderedPageBreak/>
              <w:t>2023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F9365C" w:rsidRPr="004240E5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lastRenderedPageBreak/>
              <w:t>В-П городской Думы 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№24/220)</w:t>
            </w:r>
          </w:p>
        </w:tc>
        <w:tc>
          <w:tcPr>
            <w:tcW w:w="709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Уд.</w:t>
            </w:r>
          </w:p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 на 2024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9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Уд.</w:t>
            </w:r>
          </w:p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 </w:t>
            </w:r>
          </w:p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 %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 на 2025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9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Уд.</w:t>
            </w:r>
          </w:p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</w:p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%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 на 2026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9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Уд.</w:t>
            </w:r>
          </w:p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</w:p>
          <w:p w:rsidR="00F9365C" w:rsidRPr="0070358D" w:rsidRDefault="00F9365C" w:rsidP="000312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%</w:t>
            </w:r>
          </w:p>
        </w:tc>
      </w:tr>
      <w:tr w:rsidR="00F9365C" w:rsidTr="00031283">
        <w:tc>
          <w:tcPr>
            <w:tcW w:w="1345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 w:rsidRPr="004240E5">
              <w:rPr>
                <w:rFonts w:ascii="Times New Roman" w:hAnsi="Times New Roman"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1065" w:type="dxa"/>
          </w:tcPr>
          <w:p w:rsidR="00F9365C" w:rsidRPr="0070358D" w:rsidRDefault="00F9365C" w:rsidP="00031283">
            <w:pPr>
              <w:rPr>
                <w:rFonts w:ascii="Times New Roman" w:hAnsi="Times New Roman"/>
                <w:sz w:val="18"/>
                <w:szCs w:val="18"/>
              </w:rPr>
            </w:pPr>
            <w:r w:rsidRPr="0070358D">
              <w:rPr>
                <w:rFonts w:ascii="Times New Roman" w:hAnsi="Times New Roman"/>
                <w:sz w:val="18"/>
                <w:szCs w:val="18"/>
              </w:rPr>
              <w:t>219309,0</w:t>
            </w:r>
          </w:p>
        </w:tc>
        <w:tc>
          <w:tcPr>
            <w:tcW w:w="1134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252947,5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267859,0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278321,0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291043,0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</w:tr>
      <w:tr w:rsidR="00F9365C" w:rsidTr="00031283">
        <w:tc>
          <w:tcPr>
            <w:tcW w:w="1345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065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59382,7</w:t>
            </w:r>
          </w:p>
        </w:tc>
        <w:tc>
          <w:tcPr>
            <w:tcW w:w="1134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66998,8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71763,1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52292,0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52336,0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F9365C" w:rsidTr="00031283">
        <w:tc>
          <w:tcPr>
            <w:tcW w:w="1345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5" w:type="dxa"/>
          </w:tcPr>
          <w:p w:rsidR="00F9365C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278691,7</w:t>
            </w:r>
          </w:p>
        </w:tc>
        <w:tc>
          <w:tcPr>
            <w:tcW w:w="1134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319946,3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339622,1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330613,0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343379,0</w:t>
            </w:r>
          </w:p>
        </w:tc>
        <w:tc>
          <w:tcPr>
            <w:tcW w:w="709" w:type="dxa"/>
          </w:tcPr>
          <w:p w:rsidR="00F9365C" w:rsidRPr="004240E5" w:rsidRDefault="00F9365C" w:rsidP="000312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F9365C" w:rsidRPr="00780608" w:rsidRDefault="00F9365C" w:rsidP="00F9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2024-2026 годах сохраняется тенденция роста объема налоговых доходов</w:t>
      </w:r>
      <w:r w:rsidRPr="001B7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Объем н</w:t>
      </w:r>
      <w:r w:rsidRPr="001B7EC9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 снижается.</w:t>
      </w:r>
    </w:p>
    <w:p w:rsidR="00F9365C" w:rsidRDefault="00F9365C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65C" w:rsidRPr="001B7EC9" w:rsidRDefault="00F9365C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F9365C" w:rsidRPr="001B7EC9" w:rsidRDefault="00F9365C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DC1C8C" w:rsidRDefault="00F9365C" w:rsidP="00F9365C">
      <w:pPr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доходы городского бюджета на 2024-2026 годы сформированы по показателям прогнозируемых объемов поступлений, представленных главными администраторами доходов городского бюджета. Прогноз налоговых и неналоговых доходов составлен на основе базового (второго) варианта показателей прогноза социально-экономического развития муниципального образования. При формировании доходов учтены положения принятых и планируемых к принятию федеральных и областных законов, регулирующих налоговые и бюджетные правоотношения, вступающие в силу с 1 января 2024 года, </w:t>
      </w:r>
      <w:r w:rsidRPr="00DC1C8C">
        <w:rPr>
          <w:rFonts w:ascii="Times New Roman" w:hAnsi="Times New Roman" w:cs="Times New Roman"/>
          <w:bCs/>
          <w:sz w:val="28"/>
          <w:szCs w:val="28"/>
        </w:rPr>
        <w:t>в том числе предусматривающие изменение налоговых ставок и нормативов отчислений в бюджет отдельных налоговых доходов.</w:t>
      </w:r>
    </w:p>
    <w:p w:rsidR="00F9365C" w:rsidRPr="00335D8E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>
        <w:rPr>
          <w:rFonts w:ascii="Times New Roman" w:hAnsi="Times New Roman" w:cs="Times New Roman"/>
          <w:sz w:val="28"/>
          <w:szCs w:val="28"/>
        </w:rPr>
        <w:t>267859,0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больше уточненного плана 2023 года на 14911,5 тыс. руб., или на 5,9%.</w:t>
      </w:r>
    </w:p>
    <w:p w:rsidR="00F9365C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Рост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к уточненному плану 2023 года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в основном за счет увеличения налога на доходы физических лиц на 12725,0 тыс. руб. (или на 7,7%), налог</w:t>
      </w:r>
      <w:r w:rsidR="00883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на 2836,0 тыс. руб., или на 14,9%.</w:t>
      </w:r>
    </w:p>
    <w:p w:rsidR="00F9365C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BA5">
        <w:rPr>
          <w:rFonts w:ascii="Times New Roman" w:hAnsi="Times New Roman" w:cs="Times New Roman"/>
          <w:sz w:val="28"/>
          <w:szCs w:val="28"/>
        </w:rPr>
        <w:t xml:space="preserve"> году 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 планируются с ростом к прогнозу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3,9</w:t>
      </w:r>
      <w:r w:rsidRPr="001B7EC9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по отношению к прогнозу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с ростом на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1B7EC9">
        <w:rPr>
          <w:rFonts w:ascii="Times New Roman" w:hAnsi="Times New Roman" w:cs="Times New Roman"/>
          <w:sz w:val="28"/>
          <w:szCs w:val="28"/>
        </w:rPr>
        <w:t xml:space="preserve">%. </w:t>
      </w:r>
      <w:r w:rsidRPr="00230EE9">
        <w:rPr>
          <w:rFonts w:ascii="Times New Roman" w:hAnsi="Times New Roman" w:cs="Times New Roman"/>
          <w:sz w:val="28"/>
          <w:szCs w:val="28"/>
        </w:rPr>
        <w:t>Основное влияние окажет рост налога на доходы физических лиц.</w:t>
      </w:r>
    </w:p>
    <w:p w:rsidR="00F9365C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7E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p w:rsidR="00F9365C" w:rsidRPr="00BC3577" w:rsidRDefault="00F9365C" w:rsidP="00F9365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F9365C" w:rsidRPr="001B7EC9" w:rsidTr="00031283">
        <w:trPr>
          <w:cantSplit/>
          <w:trHeight w:val="285"/>
        </w:trPr>
        <w:tc>
          <w:tcPr>
            <w:tcW w:w="1985" w:type="dxa"/>
            <w:vMerge w:val="restart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F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B80C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4BF2" w:rsidRPr="009E0CC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434B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первона</w:t>
            </w:r>
            <w:r w:rsidR="00434B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="00434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BF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(решение В-П городской Думы от 04.10.2023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№24/220)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</w:tr>
      <w:tr w:rsidR="00F9365C" w:rsidRPr="001B7EC9" w:rsidTr="00031283">
        <w:trPr>
          <w:cantSplit/>
          <w:trHeight w:val="421"/>
        </w:trPr>
        <w:tc>
          <w:tcPr>
            <w:tcW w:w="1985" w:type="dxa"/>
            <w:vMerge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9365C" w:rsidRPr="00F71F80" w:rsidRDefault="00434BF2" w:rsidP="00434B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93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умма</w:t>
            </w:r>
          </w:p>
        </w:tc>
        <w:tc>
          <w:tcPr>
            <w:tcW w:w="992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</w:tr>
      <w:tr w:rsidR="00F9365C" w:rsidRPr="001B7EC9" w:rsidTr="00031283">
        <w:trPr>
          <w:trHeight w:val="341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  всего, в том числе: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219309,0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252947,5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267859,0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278321,0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9365C" w:rsidRPr="003C3392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392">
              <w:rPr>
                <w:rFonts w:ascii="Times New Roman" w:hAnsi="Times New Roman"/>
                <w:sz w:val="18"/>
                <w:szCs w:val="18"/>
              </w:rPr>
              <w:t>291043,0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9365C" w:rsidRPr="001B7EC9" w:rsidTr="00031283">
        <w:trPr>
          <w:trHeight w:val="248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134130,0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164949,0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177674,0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186764,0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197859,0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  <w:tr w:rsidR="00F9365C" w:rsidRPr="001B7EC9" w:rsidTr="00031283">
        <w:trPr>
          <w:trHeight w:val="7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Акцизы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2729,0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2811,0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9365C" w:rsidRPr="001B7EC9" w:rsidTr="00031283">
        <w:trPr>
          <w:trHeight w:val="7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доход, в т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37843,0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40537,5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39931,0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41002,0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42172,0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F9365C" w:rsidRPr="001B7EC9" w:rsidTr="00031283">
        <w:trPr>
          <w:trHeight w:val="5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29836,0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32836,0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31281,0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31702,0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F9365C" w:rsidRPr="001B7EC9" w:rsidTr="00031283">
        <w:trPr>
          <w:trHeight w:val="5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5C" w:rsidRPr="001B7EC9" w:rsidTr="00031283">
        <w:trPr>
          <w:trHeight w:val="573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5C" w:rsidRPr="001B7EC9" w:rsidTr="00031283">
        <w:trPr>
          <w:trHeight w:val="5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8007,0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8007,0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F9365C" w:rsidRPr="001B7EC9" w:rsidTr="00031283">
        <w:trPr>
          <w:trHeight w:val="50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18988,0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18988,0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21824,0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22150,0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F9365C" w:rsidRPr="001B7EC9" w:rsidTr="00031283">
        <w:trPr>
          <w:trHeight w:val="146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14912,0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14912,0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14304,0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14333,0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14419,0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F9365C" w:rsidRPr="001B7EC9" w:rsidTr="00031283">
        <w:trPr>
          <w:trHeight w:val="146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5845,0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5845,0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6072,0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5936,0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5936,0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F9365C" w:rsidRPr="001B7EC9" w:rsidTr="00031283">
        <w:trPr>
          <w:trHeight w:val="226"/>
        </w:trPr>
        <w:tc>
          <w:tcPr>
            <w:tcW w:w="1985" w:type="dxa"/>
            <w:vAlign w:val="center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F9365C" w:rsidRPr="00F71F80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5235,0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5360,0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5325,0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5325,0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F9365C" w:rsidRPr="00B80CE6" w:rsidRDefault="00F9365C" w:rsidP="000312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5325,0</w:t>
            </w:r>
          </w:p>
        </w:tc>
        <w:tc>
          <w:tcPr>
            <w:tcW w:w="709" w:type="dxa"/>
          </w:tcPr>
          <w:p w:rsidR="00F9365C" w:rsidRPr="00B80CE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</w:tbl>
    <w:p w:rsidR="00F9365C" w:rsidRPr="00780608" w:rsidRDefault="00F9365C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365C" w:rsidRPr="001B7EC9" w:rsidRDefault="00F9365C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налоговых доходов (более 80%) в 2024 году, по-прежнему, составят </w:t>
      </w:r>
      <w:r w:rsidRPr="001B7EC9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(66,3%) и </w:t>
      </w:r>
      <w:r w:rsidRPr="001B7EC9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1B7EC9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(14,9%)</w:t>
      </w:r>
      <w:r w:rsidRPr="001B7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2025-2026 годах структура налоговых доходов не претерпит существенных изменений.</w:t>
      </w:r>
    </w:p>
    <w:p w:rsidR="00F9365C" w:rsidRDefault="00F9365C" w:rsidP="00F93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1B7EC9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НДФЛ) на 2024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проекте решения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177674,0</w:t>
      </w:r>
      <w:r w:rsidRPr="005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5B06D1"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НДФЛ на 2024 год прогнозируется с увеличением к уточненному плану 2023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12725,0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7,7</w:t>
      </w:r>
      <w:r w:rsidRPr="001B7E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2025 году </w:t>
      </w:r>
      <w:r w:rsidR="00434B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ростом к прогнозу 2024 года на 5,1%, в 2026 году по отношению к прогнозу 2025 года с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5,9%.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C9">
        <w:rPr>
          <w:rFonts w:ascii="Times New Roman" w:eastAsia="Times New Roman" w:hAnsi="Times New Roman" w:cs="Times New Roman"/>
          <w:sz w:val="28"/>
          <w:szCs w:val="28"/>
        </w:rPr>
        <w:t>Данные о прогнозируемых поступлениях налога на доходы физических лиц представлены в таблице:</w:t>
      </w:r>
    </w:p>
    <w:p w:rsidR="00F9365C" w:rsidRPr="00780608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3969"/>
        <w:gridCol w:w="1701"/>
        <w:gridCol w:w="1276"/>
        <w:gridCol w:w="1276"/>
        <w:gridCol w:w="1134"/>
      </w:tblGrid>
      <w:tr w:rsidR="00F9365C" w:rsidTr="00031283">
        <w:tc>
          <w:tcPr>
            <w:tcW w:w="3969" w:type="dxa"/>
          </w:tcPr>
          <w:p w:rsidR="00F9365C" w:rsidRPr="0063384B" w:rsidRDefault="00F9365C" w:rsidP="0003128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84B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>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365C" w:rsidRPr="0063384B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24/220)</w:t>
            </w:r>
            <w:proofErr w:type="gramEnd"/>
          </w:p>
        </w:tc>
        <w:tc>
          <w:tcPr>
            <w:tcW w:w="1276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 прогноз</w:t>
            </w:r>
          </w:p>
        </w:tc>
        <w:tc>
          <w:tcPr>
            <w:tcW w:w="1276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 прогноз</w:t>
            </w:r>
          </w:p>
        </w:tc>
        <w:tc>
          <w:tcPr>
            <w:tcW w:w="1134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 прогноз</w:t>
            </w:r>
          </w:p>
        </w:tc>
      </w:tr>
      <w:tr w:rsidR="00F9365C" w:rsidTr="00031283">
        <w:tc>
          <w:tcPr>
            <w:tcW w:w="3969" w:type="dxa"/>
          </w:tcPr>
          <w:p w:rsidR="00F9365C" w:rsidRPr="0063384B" w:rsidRDefault="00F9365C" w:rsidP="00031283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лиц, 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164949,0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177674,0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186764,0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197859,0</w:t>
            </w:r>
          </w:p>
        </w:tc>
      </w:tr>
      <w:tr w:rsidR="00F9365C" w:rsidTr="00031283">
        <w:trPr>
          <w:trHeight w:val="679"/>
        </w:trPr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в том числе НДФЛ с доходов, источником которых является налоговый агент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150244,0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161006,0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170000,0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181000,0</w:t>
            </w:r>
          </w:p>
        </w:tc>
      </w:tr>
      <w:tr w:rsidR="00F9365C" w:rsidTr="00031283"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106,5</w:t>
            </w:r>
          </w:p>
        </w:tc>
      </w:tr>
      <w:tr w:rsidR="00F9365C" w:rsidTr="00031283"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34760,0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36816,0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39317,5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41856,2</w:t>
            </w:r>
          </w:p>
        </w:tc>
      </w:tr>
      <w:tr w:rsidR="00F9365C" w:rsidTr="00031283"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106,4</w:t>
            </w:r>
          </w:p>
        </w:tc>
      </w:tr>
      <w:tr w:rsidR="00F9365C" w:rsidTr="00031283"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труда, млн. руб.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4377,2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4653,0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4992,7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5342,2</w:t>
            </w:r>
          </w:p>
        </w:tc>
      </w:tr>
      <w:tr w:rsidR="00F9365C" w:rsidTr="00031283">
        <w:tc>
          <w:tcPr>
            <w:tcW w:w="3969" w:type="dxa"/>
          </w:tcPr>
          <w:p w:rsidR="00F9365C" w:rsidRPr="00CE1AE5" w:rsidRDefault="00F9365C" w:rsidP="00031283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113,5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276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134" w:type="dxa"/>
          </w:tcPr>
          <w:p w:rsidR="00F9365C" w:rsidRPr="00405004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107,0</w:t>
            </w:r>
          </w:p>
        </w:tc>
      </w:tr>
    </w:tbl>
    <w:p w:rsidR="00F9365C" w:rsidRPr="00C22E60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Прогнозируемое увеличение объемов поступлений по НДФЛ обусловлено, главным образом, ростом фонда оплаты труда согласно прогнозу социально-экономического развития муниципального образования.</w:t>
      </w:r>
    </w:p>
    <w:p w:rsidR="00F9365C" w:rsidRPr="00090E81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81">
        <w:rPr>
          <w:rFonts w:ascii="Times New Roman" w:hAnsi="Times New Roman" w:cs="Times New Roman"/>
          <w:sz w:val="28"/>
          <w:szCs w:val="28"/>
        </w:rPr>
        <w:t>В структуре прогнозируемых поступлений НДФЛ наибольшая доля (</w:t>
      </w:r>
      <w:r>
        <w:rPr>
          <w:rFonts w:ascii="Times New Roman" w:hAnsi="Times New Roman" w:cs="Times New Roman"/>
          <w:sz w:val="28"/>
          <w:szCs w:val="28"/>
        </w:rPr>
        <w:t>90,6</w:t>
      </w:r>
      <w:r w:rsidRPr="00090E81">
        <w:rPr>
          <w:rFonts w:ascii="Times New Roman" w:hAnsi="Times New Roman" w:cs="Times New Roman"/>
          <w:sz w:val="28"/>
          <w:szCs w:val="28"/>
        </w:rPr>
        <w:t>%) приходится на НДФЛ с доходов, источником которых является налоговый агент.</w:t>
      </w:r>
    </w:p>
    <w:p w:rsidR="00F9365C" w:rsidRDefault="00F9365C" w:rsidP="00F93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НДФЛ с доходов, полученных от осуществления предпринимательской деятельности (индивидуальные предприниматели, нотариусы, адвокаты), прогнозируется в 2024 году в объеме 910,0 тыс. руб. НДФЛ с доходов, полученных физическими лицами в соответствии со ст</w:t>
      </w:r>
      <w:r w:rsidR="00883A2E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228 Налогового кодекса РФ, в 2024 году составит 1688,0 тыс. руб. Налог на доходы физических лиц в отношении доходов от долевого участия в организации, полученных в виде дивидендов,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году планируется получить в объеме 14070,0 тыс. руб. </w:t>
      </w:r>
      <w:r w:rsidR="00B0009A">
        <w:rPr>
          <w:rFonts w:ascii="Times New Roman" w:hAnsi="Times New Roman" w:cs="Times New Roman"/>
          <w:sz w:val="28"/>
          <w:szCs w:val="28"/>
        </w:rPr>
        <w:t>с ростом к текущему году на 15,3%, или на 1865,0 тыс. руб.</w:t>
      </w:r>
    </w:p>
    <w:p w:rsidR="00F9365C" w:rsidRDefault="00F9365C" w:rsidP="00F93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поступлений НДФЛ в 2024 году рассчитан с учетом налоговых льгот в виде стандартных, социальных, имущественных и профессиональных вычетов, предусмотренных статьями 217-221 части второй Налогового кодекса РФ.</w:t>
      </w:r>
    </w:p>
    <w:p w:rsidR="00F9365C" w:rsidRDefault="00F9365C" w:rsidP="00F93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 о бюджете в</w:t>
      </w:r>
      <w:r w:rsidRPr="001C56A5">
        <w:rPr>
          <w:rFonts w:ascii="Times New Roman" w:hAnsi="Times New Roman" w:cs="Times New Roman"/>
          <w:sz w:val="28"/>
          <w:szCs w:val="28"/>
        </w:rPr>
        <w:t xml:space="preserve"> расчете поступлений налога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56A5">
        <w:rPr>
          <w:rFonts w:ascii="Times New Roman" w:hAnsi="Times New Roman" w:cs="Times New Roman"/>
          <w:sz w:val="28"/>
          <w:szCs w:val="28"/>
        </w:rPr>
        <w:t xml:space="preserve"> год учтены неисполненные обязательства налогоплательщиков в части городского бюджета в сумме </w:t>
      </w:r>
      <w:r>
        <w:rPr>
          <w:rFonts w:ascii="Times New Roman" w:hAnsi="Times New Roman" w:cs="Times New Roman"/>
          <w:sz w:val="28"/>
          <w:szCs w:val="28"/>
        </w:rPr>
        <w:t>265,4</w:t>
      </w:r>
      <w:r w:rsidRPr="001C56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9365C" w:rsidRDefault="00F9365C" w:rsidP="00F93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Pr="001B7EC9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1B7EC9">
        <w:rPr>
          <w:rFonts w:ascii="Times New Roman" w:hAnsi="Times New Roman" w:cs="Times New Roman"/>
          <w:b/>
          <w:sz w:val="28"/>
          <w:szCs w:val="28"/>
        </w:rPr>
        <w:t>доходов по акцизам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7EC9">
        <w:rPr>
          <w:rFonts w:ascii="Times New Roman" w:hAnsi="Times New Roman" w:cs="Times New Roman"/>
          <w:sz w:val="28"/>
          <w:szCs w:val="28"/>
        </w:rPr>
        <w:t>тся с ростом к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15,8</w:t>
      </w:r>
      <w:r w:rsidRPr="001B7EC9">
        <w:rPr>
          <w:rFonts w:ascii="Times New Roman" w:hAnsi="Times New Roman" w:cs="Times New Roman"/>
          <w:sz w:val="28"/>
          <w:szCs w:val="28"/>
        </w:rPr>
        <w:t>% и состав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EC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2729,0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темп роста составит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7EC9">
        <w:rPr>
          <w:rFonts w:ascii="Times New Roman" w:hAnsi="Times New Roman" w:cs="Times New Roman"/>
          <w:sz w:val="28"/>
          <w:szCs w:val="28"/>
        </w:rPr>
        <w:t>% к предыдущему году, в 202</w:t>
      </w:r>
      <w:r>
        <w:rPr>
          <w:rFonts w:ascii="Times New Roman" w:hAnsi="Times New Roman" w:cs="Times New Roman"/>
          <w:sz w:val="28"/>
          <w:szCs w:val="28"/>
        </w:rPr>
        <w:t>6 году – 0,7</w:t>
      </w:r>
      <w:r w:rsidRPr="001B7EC9">
        <w:rPr>
          <w:rFonts w:ascii="Times New Roman" w:hAnsi="Times New Roman" w:cs="Times New Roman"/>
          <w:sz w:val="28"/>
          <w:szCs w:val="28"/>
        </w:rPr>
        <w:t>%.</w:t>
      </w:r>
    </w:p>
    <w:p w:rsidR="00F9365C" w:rsidRDefault="00F9365C" w:rsidP="00F9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>Сведения о прогнозируемых поступлениях доходов от акцизов представлены в таблице:</w:t>
      </w:r>
    </w:p>
    <w:p w:rsidR="00F9365C" w:rsidRPr="00736D2F" w:rsidRDefault="00F9365C" w:rsidP="00F9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894"/>
        <w:gridCol w:w="1550"/>
        <w:gridCol w:w="1345"/>
        <w:gridCol w:w="1175"/>
        <w:gridCol w:w="1259"/>
        <w:gridCol w:w="1240"/>
      </w:tblGrid>
      <w:tr w:rsidR="00F9365C" w:rsidTr="00031283">
        <w:tc>
          <w:tcPr>
            <w:tcW w:w="3130" w:type="dxa"/>
          </w:tcPr>
          <w:p w:rsidR="00F9365C" w:rsidRPr="00983EFB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8" w:type="dxa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009A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  <w:r w:rsidR="00B0009A">
              <w:rPr>
                <w:rFonts w:ascii="Times New Roman" w:hAnsi="Times New Roman"/>
                <w:sz w:val="18"/>
                <w:szCs w:val="18"/>
              </w:rPr>
              <w:t>(</w:t>
            </w:r>
            <w:r w:rsidRPr="00921C50">
              <w:rPr>
                <w:rFonts w:ascii="Times New Roman" w:hAnsi="Times New Roman"/>
                <w:sz w:val="18"/>
                <w:szCs w:val="18"/>
              </w:rPr>
              <w:t>первоначальный план</w:t>
            </w:r>
            <w:r w:rsidR="00B000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09A">
              <w:rPr>
                <w:rFonts w:ascii="Times New Roman" w:hAnsi="Times New Roman"/>
                <w:sz w:val="18"/>
                <w:szCs w:val="18"/>
              </w:rPr>
              <w:t>2023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>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365C" w:rsidRPr="00983EFB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24/220)</w:t>
            </w:r>
            <w:proofErr w:type="gramEnd"/>
          </w:p>
        </w:tc>
        <w:tc>
          <w:tcPr>
            <w:tcW w:w="1201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 год (прогноз)</w:t>
            </w:r>
          </w:p>
        </w:tc>
        <w:tc>
          <w:tcPr>
            <w:tcW w:w="1299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 (прогноз)</w:t>
            </w:r>
          </w:p>
        </w:tc>
        <w:tc>
          <w:tcPr>
            <w:tcW w:w="1276" w:type="dxa"/>
          </w:tcPr>
          <w:p w:rsidR="00F9365C" w:rsidRPr="0063384B" w:rsidRDefault="00F9365C" w:rsidP="00031283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 (прогноз)</w:t>
            </w:r>
          </w:p>
        </w:tc>
      </w:tr>
      <w:tr w:rsidR="00F9365C" w:rsidTr="00031283">
        <w:tc>
          <w:tcPr>
            <w:tcW w:w="3130" w:type="dxa"/>
          </w:tcPr>
          <w:p w:rsidR="00F9365C" w:rsidRPr="00983EFB" w:rsidRDefault="00F9365C" w:rsidP="00031283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83EFB">
              <w:rPr>
                <w:rFonts w:ascii="Times New Roman" w:hAnsi="Times New Roman"/>
                <w:sz w:val="20"/>
                <w:szCs w:val="20"/>
              </w:rPr>
              <w:t>кциз</w:t>
            </w:r>
            <w:r>
              <w:rPr>
                <w:rFonts w:ascii="Times New Roman" w:hAnsi="Times New Roman"/>
                <w:sz w:val="20"/>
                <w:szCs w:val="20"/>
              </w:rPr>
              <w:t>ы по подакцизным товарам (продукции), производимым на территории РФ, тыс. руб.</w:t>
            </w:r>
          </w:p>
        </w:tc>
        <w:tc>
          <w:tcPr>
            <w:tcW w:w="1158" w:type="dxa"/>
          </w:tcPr>
          <w:p w:rsidR="00F9365C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2356,0</w:t>
            </w:r>
          </w:p>
        </w:tc>
        <w:tc>
          <w:tcPr>
            <w:tcW w:w="1399" w:type="dxa"/>
          </w:tcPr>
          <w:p w:rsidR="00F9365C" w:rsidRPr="00983EFB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2356,0</w:t>
            </w:r>
          </w:p>
        </w:tc>
        <w:tc>
          <w:tcPr>
            <w:tcW w:w="1201" w:type="dxa"/>
          </w:tcPr>
          <w:p w:rsidR="00F9365C" w:rsidRPr="00983EFB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2729,0</w:t>
            </w:r>
          </w:p>
        </w:tc>
        <w:tc>
          <w:tcPr>
            <w:tcW w:w="1299" w:type="dxa"/>
          </w:tcPr>
          <w:p w:rsidR="00F9365C" w:rsidRPr="00983EFB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2811,0</w:t>
            </w:r>
          </w:p>
        </w:tc>
        <w:tc>
          <w:tcPr>
            <w:tcW w:w="1276" w:type="dxa"/>
          </w:tcPr>
          <w:p w:rsidR="00F9365C" w:rsidRPr="00983EFB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2832,0</w:t>
            </w:r>
          </w:p>
        </w:tc>
      </w:tr>
      <w:tr w:rsidR="00F9365C" w:rsidTr="00031283">
        <w:tc>
          <w:tcPr>
            <w:tcW w:w="3130" w:type="dxa"/>
          </w:tcPr>
          <w:p w:rsidR="00F9365C" w:rsidRPr="00B0009A" w:rsidRDefault="00F9365C" w:rsidP="0003128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sz w:val="20"/>
                <w:szCs w:val="20"/>
              </w:rPr>
              <w:t>Темп роста, % к пред</w:t>
            </w:r>
            <w:proofErr w:type="gramStart"/>
            <w:r w:rsidRPr="00B0009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B000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009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B0009A">
              <w:rPr>
                <w:rFonts w:ascii="Times New Roman" w:eastAsia="Times New Roman" w:hAnsi="Times New Roman"/>
                <w:sz w:val="20"/>
                <w:szCs w:val="20"/>
              </w:rPr>
              <w:t>оду</w:t>
            </w:r>
          </w:p>
        </w:tc>
        <w:tc>
          <w:tcPr>
            <w:tcW w:w="1158" w:type="dxa"/>
          </w:tcPr>
          <w:p w:rsidR="00F9365C" w:rsidRPr="00B0009A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lang w:eastAsia="ru-RU"/>
              </w:rPr>
              <w:t>90,8</w:t>
            </w:r>
          </w:p>
        </w:tc>
        <w:tc>
          <w:tcPr>
            <w:tcW w:w="1399" w:type="dxa"/>
          </w:tcPr>
          <w:p w:rsidR="00F9365C" w:rsidRPr="00B0009A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lang w:eastAsia="ru-RU"/>
              </w:rPr>
              <w:t>90,8</w:t>
            </w:r>
          </w:p>
        </w:tc>
        <w:tc>
          <w:tcPr>
            <w:tcW w:w="1201" w:type="dxa"/>
          </w:tcPr>
          <w:p w:rsidR="00F9365C" w:rsidRPr="00B0009A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lang w:eastAsia="ru-RU"/>
              </w:rPr>
              <w:t>115,8</w:t>
            </w:r>
          </w:p>
        </w:tc>
        <w:tc>
          <w:tcPr>
            <w:tcW w:w="1299" w:type="dxa"/>
          </w:tcPr>
          <w:p w:rsidR="00F9365C" w:rsidRPr="00B0009A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1276" w:type="dxa"/>
          </w:tcPr>
          <w:p w:rsidR="00F9365C" w:rsidRPr="00B0009A" w:rsidRDefault="00F9365C" w:rsidP="00031283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9A">
              <w:rPr>
                <w:rFonts w:ascii="Times New Roman" w:eastAsia="Times New Roman" w:hAnsi="Times New Roman"/>
                <w:lang w:eastAsia="ru-RU"/>
              </w:rPr>
              <w:t>100,7</w:t>
            </w:r>
          </w:p>
        </w:tc>
      </w:tr>
    </w:tbl>
    <w:p w:rsidR="00F9365C" w:rsidRPr="00E33B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F9">
        <w:rPr>
          <w:rFonts w:ascii="Times New Roman" w:hAnsi="Times New Roman" w:cs="Times New Roman"/>
          <w:sz w:val="28"/>
          <w:szCs w:val="28"/>
        </w:rPr>
        <w:t>Расчет прогноза поступления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13CF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413CF9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в городской бюджет производился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3CF9">
        <w:rPr>
          <w:rFonts w:ascii="Times New Roman" w:hAnsi="Times New Roman" w:cs="Times New Roman"/>
          <w:sz w:val="28"/>
          <w:szCs w:val="28"/>
        </w:rPr>
        <w:t>инистерством финансов Кировской области, исходя из дифференцированных норматив</w:t>
      </w:r>
      <w:r>
        <w:rPr>
          <w:rFonts w:ascii="Times New Roman" w:hAnsi="Times New Roman" w:cs="Times New Roman"/>
          <w:sz w:val="28"/>
          <w:szCs w:val="28"/>
        </w:rPr>
        <w:t>ов отчислений в местные бюджеты.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F9">
        <w:rPr>
          <w:rFonts w:ascii="Times New Roman" w:hAnsi="Times New Roman" w:cs="Times New Roman"/>
          <w:sz w:val="28"/>
          <w:szCs w:val="28"/>
        </w:rPr>
        <w:lastRenderedPageBreak/>
        <w:t>Размер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CF9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CF9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CF9">
        <w:rPr>
          <w:rFonts w:ascii="Times New Roman" w:hAnsi="Times New Roman" w:cs="Times New Roman"/>
          <w:sz w:val="28"/>
          <w:szCs w:val="28"/>
        </w:rPr>
        <w:t xml:space="preserve"> отчислений в местные бюджеты установлен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CF9">
        <w:rPr>
          <w:rFonts w:ascii="Times New Roman" w:hAnsi="Times New Roman" w:cs="Times New Roman"/>
          <w:sz w:val="28"/>
          <w:szCs w:val="28"/>
        </w:rPr>
        <w:t xml:space="preserve"> исходя из протяженности автомобильных дорог общего пользования местного значения, находящихся в собственности муниципальн</w:t>
      </w:r>
      <w:r w:rsidR="005A53C5">
        <w:rPr>
          <w:rFonts w:ascii="Times New Roman" w:hAnsi="Times New Roman" w:cs="Times New Roman"/>
          <w:sz w:val="28"/>
          <w:szCs w:val="28"/>
        </w:rPr>
        <w:t>ого</w:t>
      </w:r>
      <w:r w:rsidRPr="00413CF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A53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 составляет для города Вятские Поляны 0,0538% на 2024-2026 годы</w:t>
      </w:r>
      <w:r w:rsidRPr="00413CF9">
        <w:rPr>
          <w:rFonts w:ascii="Times New Roman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налоговых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по </w:t>
      </w:r>
      <w:r w:rsidRPr="001A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налогам на совокупный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по прогнозному плану 2023 года 40537,5 тыс. руб., или 16,1%. </w:t>
      </w:r>
    </w:p>
    <w:p w:rsidR="00F9365C" w:rsidRPr="009F5631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указанных доходов в 2024 году составит 39931,0 тыс. руб. со снижением к предыдущему году на 1,5%. 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 доход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41002,0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2,7%, в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указанных доходов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42172,0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F9365C" w:rsidRPr="00EF469B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EC9">
        <w:rPr>
          <w:rFonts w:ascii="Times New Roman" w:hAnsi="Times New Roman"/>
          <w:sz w:val="28"/>
          <w:szCs w:val="28"/>
        </w:rPr>
        <w:t>Прогноз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283">
        <w:rPr>
          <w:rFonts w:ascii="Times New Roman" w:hAnsi="Times New Roman"/>
          <w:b/>
          <w:sz w:val="28"/>
          <w:szCs w:val="28"/>
        </w:rPr>
        <w:t>налога, взимаемого в связи с применением упрощенной системы налогообложения</w:t>
      </w:r>
      <w:r w:rsidRPr="001B7EC9">
        <w:rPr>
          <w:rFonts w:ascii="Times New Roman" w:hAnsi="Times New Roman"/>
          <w:sz w:val="28"/>
          <w:szCs w:val="28"/>
        </w:rPr>
        <w:t>, на 20</w:t>
      </w:r>
      <w:r>
        <w:rPr>
          <w:rFonts w:ascii="Times New Roman" w:hAnsi="Times New Roman"/>
          <w:sz w:val="28"/>
          <w:szCs w:val="28"/>
        </w:rPr>
        <w:t>24</w:t>
      </w:r>
      <w:r w:rsidRPr="001B7EC9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31281,0 тыс</w:t>
      </w:r>
      <w:r w:rsidRPr="001B7EC9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.</w:t>
      </w:r>
      <w:r w:rsidRPr="001B7E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4,7% (на 1555,0 тыс. руб.) ниже прогноза 2023</w:t>
      </w:r>
      <w:r w:rsidRPr="001B7EC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</w:p>
    <w:p w:rsidR="00F9365C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sz w:val="28"/>
          <w:szCs w:val="28"/>
        </w:rPr>
        <w:t>Информация о прогнозируемых поступлениях налога представлена в таблице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(тыс. руб.)</w:t>
      </w:r>
      <w:r w:rsidRPr="001B7E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365C" w:rsidRPr="00BC3577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f"/>
        <w:tblW w:w="9498" w:type="dxa"/>
        <w:tblInd w:w="108" w:type="dxa"/>
        <w:tblLayout w:type="fixed"/>
        <w:tblLook w:val="04A0"/>
      </w:tblPr>
      <w:tblGrid>
        <w:gridCol w:w="1843"/>
        <w:gridCol w:w="992"/>
        <w:gridCol w:w="1560"/>
        <w:gridCol w:w="992"/>
        <w:gridCol w:w="992"/>
        <w:gridCol w:w="992"/>
        <w:gridCol w:w="709"/>
        <w:gridCol w:w="709"/>
        <w:gridCol w:w="709"/>
      </w:tblGrid>
      <w:tr w:rsidR="00F9365C" w:rsidTr="00031283">
        <w:tc>
          <w:tcPr>
            <w:tcW w:w="1843" w:type="dxa"/>
            <w:vMerge w:val="restart"/>
          </w:tcPr>
          <w:p w:rsidR="00F9365C" w:rsidRPr="003D339D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3107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3107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gridSpan w:val="3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2127" w:type="dxa"/>
            <w:gridSpan w:val="3"/>
          </w:tcPr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Рост, %</w:t>
            </w:r>
          </w:p>
        </w:tc>
      </w:tr>
      <w:tr w:rsidR="00F9365C" w:rsidTr="00031283">
        <w:tc>
          <w:tcPr>
            <w:tcW w:w="1843" w:type="dxa"/>
            <w:vMerge/>
          </w:tcPr>
          <w:p w:rsidR="00F9365C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65C" w:rsidRPr="00EC5D5C" w:rsidRDefault="005A53C5" w:rsidP="005A53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9365C">
              <w:rPr>
                <w:rFonts w:ascii="Times New Roman" w:hAnsi="Times New Roman"/>
                <w:sz w:val="18"/>
                <w:szCs w:val="18"/>
              </w:rPr>
              <w:t>ервона-чальный</w:t>
            </w:r>
            <w:proofErr w:type="spellEnd"/>
            <w:proofErr w:type="gramEnd"/>
            <w:r w:rsidR="00F9365C"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>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24/220)</w:t>
            </w:r>
            <w:proofErr w:type="gramEnd"/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9365C" w:rsidRPr="00F80BCF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365C" w:rsidTr="00031283">
        <w:tc>
          <w:tcPr>
            <w:tcW w:w="1843" w:type="dxa"/>
          </w:tcPr>
          <w:p w:rsidR="00F9365C" w:rsidRPr="003D339D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УСН</w:t>
            </w:r>
          </w:p>
        </w:tc>
        <w:tc>
          <w:tcPr>
            <w:tcW w:w="992" w:type="dxa"/>
            <w:vAlign w:val="center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29836,0</w:t>
            </w:r>
          </w:p>
        </w:tc>
        <w:tc>
          <w:tcPr>
            <w:tcW w:w="1560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32836,0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31281</w:t>
            </w:r>
            <w:r w:rsidRPr="004025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31702</w:t>
            </w:r>
            <w:r w:rsidRPr="004025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32222</w:t>
            </w:r>
            <w:r w:rsidRPr="004025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709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709" w:type="dxa"/>
          </w:tcPr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402551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</w:tbl>
    <w:p w:rsidR="00F9365C" w:rsidRPr="00780608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9365C" w:rsidRPr="00165364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B3">
        <w:rPr>
          <w:rFonts w:ascii="Times New Roman" w:hAnsi="Times New Roman" w:cs="Times New Roman"/>
          <w:sz w:val="28"/>
          <w:szCs w:val="28"/>
        </w:rPr>
        <w:t xml:space="preserve">Расчет прогноза налога </w:t>
      </w:r>
      <w:r>
        <w:rPr>
          <w:rFonts w:ascii="Times New Roman" w:hAnsi="Times New Roman" w:cs="Times New Roman"/>
          <w:sz w:val="28"/>
          <w:szCs w:val="28"/>
        </w:rPr>
        <w:t>произведен</w:t>
      </w:r>
      <w:r w:rsidRPr="00C166B3">
        <w:rPr>
          <w:rFonts w:ascii="Times New Roman" w:hAnsi="Times New Roman" w:cs="Times New Roman"/>
          <w:sz w:val="28"/>
          <w:szCs w:val="28"/>
        </w:rPr>
        <w:t xml:space="preserve"> исходя из ожидаемой оценки его поступления в текущем году с учетом применения коэффициента роста показателя «оборот малых предприятий, включая </w:t>
      </w:r>
      <w:proofErr w:type="spellStart"/>
      <w:r w:rsidRPr="0016536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65364">
        <w:rPr>
          <w:rFonts w:ascii="Times New Roman" w:hAnsi="Times New Roman" w:cs="Times New Roman"/>
          <w:sz w:val="28"/>
          <w:szCs w:val="28"/>
        </w:rPr>
        <w:t>» на очередной финансовый год к уровню текущего финансового года.</w:t>
      </w:r>
    </w:p>
    <w:p w:rsidR="00F9365C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2024-2026 годы прогноз поступления налога, взимаемого в связи с применением УСН, увеличен к установленным единым нормативам отчислений </w:t>
      </w:r>
      <w:r w:rsidRPr="00EC5374">
        <w:rPr>
          <w:rFonts w:ascii="Times New Roman" w:hAnsi="Times New Roman" w:cs="Times New Roman"/>
          <w:sz w:val="28"/>
          <w:szCs w:val="28"/>
        </w:rPr>
        <w:t>от налога (10%)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дополнительные поступления по дифференцированным нормативам отчислений в размере 18,1%, установленным для муниципального образования проектом </w:t>
      </w:r>
      <w:r w:rsidR="003E1F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об областном бюджете.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дополнительных дифференцированных нормативов отчислений на 2024 год уменьшен на 2,7% относительно установленного норматива на 2023 год (20,8%), что повлекло снижение прогнозируемого объема поступлений налога.</w:t>
      </w:r>
    </w:p>
    <w:p w:rsidR="00F9365C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FD2285" w:rsidRDefault="00F9365C" w:rsidP="00F936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налога, взимаемого в связи с применением </w:t>
      </w:r>
      <w:r w:rsidRPr="00FD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патентной системы налогообложения, 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8650,0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выше плановых показателей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FD228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5 году </w:t>
      </w:r>
      <w:r w:rsidRPr="00FD2285">
        <w:rPr>
          <w:rFonts w:ascii="Times New Roman" w:hAnsi="Times New Roman" w:cs="Times New Roman"/>
          <w:sz w:val="28"/>
          <w:szCs w:val="28"/>
        </w:rPr>
        <w:t xml:space="preserve">темп роста составит </w:t>
      </w:r>
      <w:r>
        <w:rPr>
          <w:rFonts w:ascii="Times New Roman" w:hAnsi="Times New Roman" w:cs="Times New Roman"/>
          <w:sz w:val="28"/>
          <w:szCs w:val="28"/>
        </w:rPr>
        <w:t xml:space="preserve">7,5%, в 2026 </w:t>
      </w:r>
      <w:r w:rsidRPr="00FD22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 - 7% относительно предыдущего года</w:t>
      </w:r>
      <w:r w:rsidRPr="00FD2285">
        <w:rPr>
          <w:rFonts w:ascii="Times New Roman" w:hAnsi="Times New Roman" w:cs="Times New Roman"/>
          <w:sz w:val="28"/>
          <w:szCs w:val="28"/>
        </w:rPr>
        <w:t>.</w:t>
      </w:r>
    </w:p>
    <w:p w:rsidR="00F9365C" w:rsidRPr="008D1F04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D861FE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D8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налога на имущество физических лиц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21824,0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2836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показателей 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61FE">
        <w:rPr>
          <w:rFonts w:ascii="Times New Roman" w:hAnsi="Times New Roman" w:cs="Times New Roman"/>
          <w:sz w:val="28"/>
          <w:szCs w:val="28"/>
        </w:rPr>
        <w:t xml:space="preserve"> год прогноз поступления налога на имущество физических лиц спрогнозирован администратором </w:t>
      </w:r>
      <w:r>
        <w:rPr>
          <w:rFonts w:ascii="Times New Roman" w:hAnsi="Times New Roman" w:cs="Times New Roman"/>
          <w:sz w:val="28"/>
          <w:szCs w:val="28"/>
        </w:rPr>
        <w:t>дохода У</w:t>
      </w:r>
      <w:r w:rsidRPr="00D861FE">
        <w:rPr>
          <w:rFonts w:ascii="Times New Roman" w:hAnsi="Times New Roman" w:cs="Times New Roman"/>
          <w:sz w:val="28"/>
          <w:szCs w:val="28"/>
        </w:rPr>
        <w:t>ФНС России по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1FE">
        <w:rPr>
          <w:rFonts w:ascii="Times New Roman" w:hAnsi="Times New Roman" w:cs="Times New Roman"/>
          <w:sz w:val="28"/>
          <w:szCs w:val="28"/>
        </w:rPr>
        <w:t xml:space="preserve"> исходя из действующего налогового законодательства. </w:t>
      </w:r>
      <w:r>
        <w:rPr>
          <w:rFonts w:ascii="Times New Roman" w:hAnsi="Times New Roman" w:cs="Times New Roman"/>
          <w:sz w:val="28"/>
          <w:szCs w:val="28"/>
        </w:rPr>
        <w:t>При расчете учтена сумма недоимки в размере 803,1 тыс.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2025-2026 годах поступление налога ежегодно прогнозируется с небольшим ростом в объеме 22150,0 тыс. руб. в 2025 году и 22500,0 тыс. руб. в 2026 году.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9F5631">
        <w:rPr>
          <w:rFonts w:ascii="Times New Roman" w:hAnsi="Times New Roman" w:cs="Times New Roman"/>
          <w:b/>
          <w:sz w:val="28"/>
          <w:szCs w:val="28"/>
        </w:rPr>
        <w:t>налога на имущество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2024 году составят 14304,0 тыс. руб. (по нормативу отчислений в городской бюджет 20%).</w:t>
      </w:r>
    </w:p>
    <w:p w:rsidR="00F9365C" w:rsidRDefault="00F9365C" w:rsidP="00F93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3544"/>
        <w:gridCol w:w="1985"/>
        <w:gridCol w:w="1275"/>
        <w:gridCol w:w="1276"/>
        <w:gridCol w:w="1276"/>
      </w:tblGrid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3C5">
              <w:rPr>
                <w:rFonts w:ascii="Times New Roman" w:hAnsi="Times New Roman"/>
                <w:sz w:val="18"/>
                <w:szCs w:val="18"/>
              </w:rPr>
              <w:t>2023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>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24/220)</w:t>
            </w:r>
            <w:proofErr w:type="gramEnd"/>
          </w:p>
        </w:tc>
        <w:tc>
          <w:tcPr>
            <w:tcW w:w="1275" w:type="dxa"/>
          </w:tcPr>
          <w:p w:rsidR="00F9365C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</w:tcPr>
          <w:p w:rsidR="00F9365C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</w:tcPr>
          <w:p w:rsidR="00F9365C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985" w:type="dxa"/>
          </w:tcPr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14912,0</w:t>
            </w:r>
          </w:p>
        </w:tc>
        <w:tc>
          <w:tcPr>
            <w:tcW w:w="1275" w:type="dxa"/>
          </w:tcPr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14304,0</w:t>
            </w:r>
          </w:p>
        </w:tc>
        <w:tc>
          <w:tcPr>
            <w:tcW w:w="1276" w:type="dxa"/>
          </w:tcPr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14333,0</w:t>
            </w:r>
          </w:p>
        </w:tc>
        <w:tc>
          <w:tcPr>
            <w:tcW w:w="1276" w:type="dxa"/>
          </w:tcPr>
          <w:p w:rsidR="00F9365C" w:rsidRPr="004531BA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14419,0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5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действие основных фондов</w:t>
            </w:r>
          </w:p>
        </w:tc>
        <w:tc>
          <w:tcPr>
            <w:tcW w:w="1985" w:type="dxa"/>
          </w:tcPr>
          <w:p w:rsidR="00F9365C" w:rsidRPr="003A01E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383505,0</w:t>
            </w:r>
          </w:p>
        </w:tc>
        <w:tc>
          <w:tcPr>
            <w:tcW w:w="1275" w:type="dxa"/>
          </w:tcPr>
          <w:p w:rsidR="00F9365C" w:rsidRPr="003A01E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185728,0</w:t>
            </w:r>
          </w:p>
        </w:tc>
        <w:tc>
          <w:tcPr>
            <w:tcW w:w="1276" w:type="dxa"/>
          </w:tcPr>
          <w:p w:rsidR="00F9365C" w:rsidRPr="003A01E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221082,0</w:t>
            </w:r>
          </w:p>
        </w:tc>
        <w:tc>
          <w:tcPr>
            <w:tcW w:w="1276" w:type="dxa"/>
          </w:tcPr>
          <w:p w:rsidR="00F9365C" w:rsidRPr="003A01E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228353,0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5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Остаточная балансовая стоимость основных фондов</w:t>
            </w:r>
          </w:p>
        </w:tc>
        <w:tc>
          <w:tcPr>
            <w:tcW w:w="1985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3278743,0</w:t>
            </w:r>
          </w:p>
        </w:tc>
        <w:tc>
          <w:tcPr>
            <w:tcW w:w="1275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3250606,6</w:t>
            </w:r>
          </w:p>
        </w:tc>
        <w:tc>
          <w:tcPr>
            <w:tcW w:w="1276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3246756,1</w:t>
            </w:r>
          </w:p>
        </w:tc>
        <w:tc>
          <w:tcPr>
            <w:tcW w:w="1276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3236814,2</w:t>
            </w:r>
          </w:p>
        </w:tc>
      </w:tr>
      <w:tr w:rsidR="00F9365C" w:rsidTr="00031283">
        <w:tc>
          <w:tcPr>
            <w:tcW w:w="3544" w:type="dxa"/>
          </w:tcPr>
          <w:p w:rsidR="00F9365C" w:rsidRPr="004531BA" w:rsidRDefault="00F9365C" w:rsidP="000312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F9365C" w:rsidRPr="00DA2DC6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9365C" w:rsidRPr="00F46391" w:rsidRDefault="00F9365C" w:rsidP="00031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99,6</w:t>
            </w:r>
          </w:p>
        </w:tc>
      </w:tr>
    </w:tbl>
    <w:p w:rsidR="00F9365C" w:rsidRPr="00D10077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65C" w:rsidRPr="001D4826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2">
        <w:rPr>
          <w:rFonts w:ascii="Times New Roman" w:eastAsia="Calibri" w:hAnsi="Times New Roman" w:cs="Times New Roman"/>
          <w:sz w:val="28"/>
          <w:szCs w:val="28"/>
        </w:rPr>
        <w:t>Прогноз поступлений налога на 2024 год базировался на показателях налоговой базы отчетного налогового периода – 2022 года по объектам недвижимого имущества и по объектам торгово-офисной недвижимости, облагаемых по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параметрах прогнозируемых поступлений учтено:</w:t>
      </w:r>
      <w:r w:rsidRPr="00F82D98">
        <w:rPr>
          <w:sz w:val="28"/>
          <w:szCs w:val="28"/>
        </w:rPr>
        <w:t xml:space="preserve"> </w:t>
      </w:r>
      <w:r w:rsidRPr="00F82D98">
        <w:rPr>
          <w:rFonts w:ascii="Times New Roman" w:hAnsi="Times New Roman" w:cs="Times New Roman"/>
          <w:sz w:val="28"/>
          <w:szCs w:val="28"/>
        </w:rPr>
        <w:t>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сложившейся за предыдущие налоговые периоды;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98">
        <w:rPr>
          <w:rFonts w:ascii="Times New Roman" w:hAnsi="Times New Roman" w:cs="Times New Roman"/>
          <w:sz w:val="28"/>
          <w:szCs w:val="28"/>
        </w:rPr>
        <w:t>прогнозируемый темп роста остаточной балансовой стоимости основных фондов на очередной финансовый год к уровню отчет</w:t>
      </w:r>
      <w:r>
        <w:rPr>
          <w:rFonts w:ascii="Times New Roman" w:hAnsi="Times New Roman" w:cs="Times New Roman"/>
          <w:sz w:val="28"/>
          <w:szCs w:val="28"/>
        </w:rPr>
        <w:t>ного финансового года по городу;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объем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недопоступления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в связи с сохранением льготы в отношении железнодорожных путей общего пользования и сооружений, являющихся их неотъемлемой частью (сохранение налоговой ставки в размере 1,6% на период до 2026 года), а так же размеры налоговых ставок в отношении торгово-офисных объектов недвижимости, облагаемых по кадастровой стоимости.</w:t>
      </w:r>
    </w:p>
    <w:p w:rsidR="00F9365C" w:rsidRDefault="00F9365C" w:rsidP="00F93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2025 год налог спрогнозирован с ростом на 0,2%,</w:t>
      </w:r>
      <w:r w:rsidRPr="0059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составит 14333,0 тыс. руб., на 2026 год - с ростом к предыдущему году на 0,6%, и составит 14419,0 тыс. руб.</w:t>
      </w:r>
    </w:p>
    <w:p w:rsidR="00F9365C" w:rsidRDefault="00F9365C" w:rsidP="00F93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Прогнозируемая на 2024 год сумма поступлений в бюджет </w:t>
      </w:r>
      <w:r w:rsidRPr="00DD27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земельного налога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 6072,0 тыс. руб., что выше прогнозного плана поступлений на 2023 год на 227,0 тыс. руб., или на 3,9%.</w:t>
      </w:r>
    </w:p>
    <w:p w:rsidR="00F9365C" w:rsidRPr="00D10077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1843"/>
        <w:gridCol w:w="1985"/>
        <w:gridCol w:w="992"/>
        <w:gridCol w:w="992"/>
        <w:gridCol w:w="992"/>
        <w:gridCol w:w="851"/>
        <w:gridCol w:w="850"/>
        <w:gridCol w:w="958"/>
      </w:tblGrid>
      <w:tr w:rsidR="00F9365C" w:rsidRPr="003D339D" w:rsidTr="00031283">
        <w:tc>
          <w:tcPr>
            <w:tcW w:w="1843" w:type="dxa"/>
            <w:vMerge w:val="restart"/>
          </w:tcPr>
          <w:p w:rsidR="00F9365C" w:rsidRPr="003D339D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F9365C" w:rsidRPr="00EC5D5C" w:rsidRDefault="00F9365C" w:rsidP="000312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AB8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F9365C" w:rsidRDefault="00F9365C" w:rsidP="0003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>от 04.10.2023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24/220)</w:t>
            </w:r>
            <w:proofErr w:type="gramEnd"/>
          </w:p>
        </w:tc>
        <w:tc>
          <w:tcPr>
            <w:tcW w:w="2976" w:type="dxa"/>
            <w:gridSpan w:val="3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2659" w:type="dxa"/>
            <w:gridSpan w:val="3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Рост, снижение, %</w:t>
            </w:r>
          </w:p>
        </w:tc>
      </w:tr>
      <w:tr w:rsidR="00F9365C" w:rsidRPr="003D339D" w:rsidTr="00031283">
        <w:tc>
          <w:tcPr>
            <w:tcW w:w="1843" w:type="dxa"/>
            <w:vMerge/>
          </w:tcPr>
          <w:p w:rsidR="00F9365C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2024/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2025/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58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2026/</w:t>
            </w: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F9365C" w:rsidRPr="003D339D" w:rsidTr="00031283">
        <w:tc>
          <w:tcPr>
            <w:tcW w:w="1843" w:type="dxa"/>
          </w:tcPr>
          <w:p w:rsidR="00F9365C" w:rsidRPr="003D339D" w:rsidRDefault="00F9365C" w:rsidP="0003128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налог, тыс. руб.</w:t>
            </w:r>
          </w:p>
        </w:tc>
        <w:tc>
          <w:tcPr>
            <w:tcW w:w="1985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5845,0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6072,0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5936,0</w:t>
            </w:r>
          </w:p>
        </w:tc>
        <w:tc>
          <w:tcPr>
            <w:tcW w:w="992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5936,0</w:t>
            </w:r>
          </w:p>
        </w:tc>
        <w:tc>
          <w:tcPr>
            <w:tcW w:w="851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58" w:type="dxa"/>
          </w:tcPr>
          <w:p w:rsidR="00F9365C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65C" w:rsidRPr="003D339D" w:rsidRDefault="00F9365C" w:rsidP="0003128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F9365C" w:rsidRPr="00D10077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65C" w:rsidRPr="00DE1347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расчета прогноза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земельного налога по юридическим лицам</w:t>
      </w: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земельного налога, подлежащая уплате в бюджет по налоговой отчетности форма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>5-МН «Отчет о налоговой базе и структуре начислений по местным налогам»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9365C" w:rsidRPr="00DE1347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земельного налога по физическим лицам рассчит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 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основе показателей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суммы земельного налога с физических лиц, подлежащей уплате в бюджет за отчетный финансовый год, по данным налоговой отчетности; коэффициента собираемости земельного налога с физических лиц, рассчитанного как отношение поступлений земельного налога к сумме начисленного налога за отчетный период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также учтены дополнительные поступления в виде неисполненных обязательств налогоплательщиков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135,9 тыс. руб.</w:t>
      </w:r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2025-2026 годах поступлени</w:t>
      </w:r>
      <w:r w:rsidR="003017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спрогнозирован</w:t>
      </w:r>
      <w:r w:rsidR="003017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5936,0 тыс. руб. ежегодно.</w:t>
      </w:r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9B3ED0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012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рогноз поступления </w:t>
      </w:r>
      <w:r w:rsidRPr="004440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госпошлины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 составляет 5325,0 тыс. руб., что на 35,0 тыс. руб., или на 0,7% меньше плана 2023 года. На плановый период 2025-2026 годов поступления госпошлины спрогнозированы на уровне 2024 года.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структуре прогнозируемых поступлений госпошлины наибольшая доля – 99,5% ежегодно приходится на государственную пошлину по делам, рассматриваемым в судах общей юрисдикции, мировыми судьями. Доля государственной пошлины за выдачу разрешения на установку рекламной конструкции незначительна (ежегодно составляет 25,0 тыс. руб.).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поступления доходов от государственной пошлины 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61FE">
        <w:rPr>
          <w:rFonts w:ascii="Times New Roman" w:hAnsi="Times New Roman" w:cs="Times New Roman"/>
          <w:sz w:val="28"/>
          <w:szCs w:val="28"/>
        </w:rPr>
        <w:t>ФНС России по Кировской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Управлением по делам муниципальной собственности.</w:t>
      </w:r>
    </w:p>
    <w:p w:rsidR="0030179D" w:rsidRDefault="0030179D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65C" w:rsidRPr="001B7EC9" w:rsidRDefault="00F9365C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доходы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F9365C" w:rsidRPr="001B7EC9" w:rsidRDefault="00F9365C" w:rsidP="00F9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9365C" w:rsidRPr="001B7EC9" w:rsidRDefault="00F9365C" w:rsidP="00F9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bCs/>
          <w:sz w:val="28"/>
          <w:szCs w:val="28"/>
        </w:rPr>
        <w:t xml:space="preserve">Объем </w:t>
      </w:r>
      <w:r w:rsidRPr="00EB54E9">
        <w:rPr>
          <w:rFonts w:ascii="Times New Roman" w:eastAsia="Calibri" w:hAnsi="Times New Roman" w:cs="Times New Roman"/>
          <w:b/>
          <w:bCs/>
          <w:sz w:val="28"/>
          <w:szCs w:val="28"/>
        </w:rPr>
        <w:t>неналоговых доходов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71763,1 тыс</w:t>
      </w:r>
      <w:r w:rsidRPr="001B7EC9">
        <w:rPr>
          <w:rFonts w:ascii="Times New Roman" w:eastAsia="Calibri" w:hAnsi="Times New Roman" w:cs="Times New Roman"/>
          <w:sz w:val="28"/>
          <w:szCs w:val="28"/>
        </w:rPr>
        <w:t>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>выше планируемых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поступлений текущего года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4764,3 тыс</w:t>
      </w:r>
      <w:r w:rsidRPr="001B7EC9">
        <w:rPr>
          <w:rFonts w:ascii="Times New Roman" w:eastAsia="Calibri" w:hAnsi="Times New Roman" w:cs="Times New Roman"/>
          <w:sz w:val="28"/>
          <w:szCs w:val="28"/>
        </w:rPr>
        <w:t>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>
        <w:rPr>
          <w:rFonts w:ascii="Times New Roman" w:eastAsia="Calibri" w:hAnsi="Times New Roman" w:cs="Times New Roman"/>
          <w:sz w:val="28"/>
          <w:szCs w:val="28"/>
        </w:rPr>
        <w:t>7,1</w:t>
      </w:r>
      <w:r w:rsidRPr="001B7EC9">
        <w:rPr>
          <w:rFonts w:ascii="Times New Roman" w:eastAsia="Calibri" w:hAnsi="Times New Roman" w:cs="Times New Roman"/>
          <w:sz w:val="28"/>
          <w:szCs w:val="28"/>
        </w:rPr>
        <w:t>%. Доля неналоговых доходов в общем объеме доходов в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8,5%</w:t>
      </w:r>
      <w:r w:rsidRPr="001B7E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 году неналоговые доходы прогнозируются со снижением к прогнозу 2024 года на 27,1</w:t>
      </w:r>
      <w:r w:rsidRPr="001B7EC9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составят 52292,0 тыс. руб. На 2026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спрогнозированы в размере 52336,0 тыс. руб. с небольшим ростом к предыдущему году (0,1%)</w:t>
      </w:r>
      <w:r w:rsidRPr="001B7E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неналоговых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92"/>
        <w:gridCol w:w="850"/>
        <w:gridCol w:w="709"/>
        <w:gridCol w:w="851"/>
        <w:gridCol w:w="708"/>
        <w:gridCol w:w="851"/>
        <w:gridCol w:w="567"/>
        <w:gridCol w:w="850"/>
        <w:gridCol w:w="567"/>
      </w:tblGrid>
      <w:tr w:rsidR="00F9365C" w:rsidRPr="001B7EC9" w:rsidTr="00031283">
        <w:trPr>
          <w:cantSplit/>
          <w:trHeight w:val="3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  <w:r w:rsidR="00C6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</w:t>
            </w:r>
            <w:r w:rsidR="00C6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решение В-П городской Думы от 04.10.2023              № 24/220</w:t>
            </w:r>
            <w:r w:rsidRPr="001B7E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F9365C" w:rsidRPr="001B7EC9" w:rsidTr="00031283">
        <w:trPr>
          <w:cantSplit/>
          <w:trHeight w:val="36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F9365C" w:rsidRPr="001B7EC9" w:rsidTr="00031283">
        <w:trPr>
          <w:trHeight w:val="2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DF241B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Неналоговые доходы всего, 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DF2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9365C" w:rsidRPr="001B7EC9" w:rsidTr="00031283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F9365C" w:rsidRPr="001B7EC9" w:rsidTr="00031283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F9365C" w:rsidRPr="001B7EC9" w:rsidTr="00031283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386966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365C" w:rsidRPr="001B7EC9" w:rsidTr="00031283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E1538C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9365C" w:rsidRPr="001B7EC9" w:rsidTr="000312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прибыли остающейся в распоряжении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5C" w:rsidRPr="001B7EC9" w:rsidTr="000312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F9365C" w:rsidRPr="001B7EC9" w:rsidTr="000312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 w:rsidR="00F9365C" w:rsidRPr="001B7EC9" w:rsidTr="000312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3107C5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3107C5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5C" w:rsidRPr="001B7EC9" w:rsidTr="000312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A012E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5C" w:rsidRPr="001B7EC9" w:rsidTr="00031283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F9365C" w:rsidRPr="001B7EC9" w:rsidTr="00031283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F9365C" w:rsidRPr="001B7EC9" w:rsidTr="00031283">
        <w:trPr>
          <w:trHeight w:val="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5877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566B3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2B4848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</w:tbl>
    <w:p w:rsidR="00F9365C" w:rsidRPr="00D10077" w:rsidRDefault="00F9365C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65C" w:rsidRPr="00262171" w:rsidRDefault="00F9365C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7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2171">
        <w:rPr>
          <w:rFonts w:ascii="Times New Roman" w:hAnsi="Times New Roman" w:cs="Times New Roman"/>
          <w:sz w:val="28"/>
          <w:szCs w:val="28"/>
        </w:rPr>
        <w:t xml:space="preserve"> году основную долю (более 70%) неналоговых доходов составят доходы от оказания платных услуг, доходы, получаемые в виде арендной платы за земельные участки и доходы от реализации земельных участков.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17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2171">
        <w:rPr>
          <w:rFonts w:ascii="Times New Roman" w:hAnsi="Times New Roman" w:cs="Times New Roman"/>
          <w:sz w:val="28"/>
          <w:szCs w:val="28"/>
        </w:rPr>
        <w:t xml:space="preserve"> годах более 70% неналоговых доходов составят доходы от оказания платных услуг. </w:t>
      </w:r>
    </w:p>
    <w:p w:rsidR="0030179D" w:rsidRDefault="0030179D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58308C" w:rsidRDefault="00F9365C" w:rsidP="00F936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Доходы, получаемые в виде </w:t>
      </w:r>
      <w:r w:rsidRPr="0058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арендной платы за земельные участки,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6719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поступлений 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 или на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F9365C" w:rsidRPr="0058308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за землю произведен в соответствии с Порядком определения размера арендной платы, утвержденным постановлением Правительства Кировской области от 20.09.2019 № 483-П, и результатов определения кадастровой стоимости земельных участков, утвержденных распоряжением министерства имущественных отношений и инвестиционной политики Кировской области от 23.11.2020 № 1245, а также учтены 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поступления в виде неисполненных обязательств должников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2127</w:t>
      </w:r>
      <w:r w:rsidRPr="0058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</w:t>
      </w:r>
      <w:proofErr w:type="gramEnd"/>
    </w:p>
    <w:p w:rsidR="00F9365C" w:rsidRPr="0058308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8C">
        <w:rPr>
          <w:rFonts w:ascii="Times New Roman" w:hAnsi="Times New Roman" w:cs="Times New Roman"/>
          <w:sz w:val="28"/>
          <w:szCs w:val="28"/>
        </w:rPr>
        <w:t>Доходы от арендной платы за земельные участки на 202</w:t>
      </w:r>
      <w:r>
        <w:rPr>
          <w:rFonts w:ascii="Times New Roman" w:hAnsi="Times New Roman" w:cs="Times New Roman"/>
          <w:sz w:val="28"/>
          <w:szCs w:val="28"/>
        </w:rPr>
        <w:t>5-2026</w:t>
      </w:r>
      <w:r w:rsidRPr="0058308C">
        <w:rPr>
          <w:rFonts w:ascii="Times New Roman" w:hAnsi="Times New Roman" w:cs="Times New Roman"/>
          <w:sz w:val="28"/>
          <w:szCs w:val="28"/>
        </w:rPr>
        <w:t xml:space="preserve"> годы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58308C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4592,0 тыс. руб.</w:t>
      </w:r>
      <w:r w:rsidRPr="0058308C">
        <w:rPr>
          <w:rFonts w:ascii="Times New Roman" w:hAnsi="Times New Roman" w:cs="Times New Roman"/>
          <w:sz w:val="28"/>
          <w:szCs w:val="28"/>
        </w:rPr>
        <w:t xml:space="preserve"> со снижением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308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5C" w:rsidRPr="00BF25EC" w:rsidRDefault="00F9365C" w:rsidP="00F936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25EC">
        <w:rPr>
          <w:rFonts w:ascii="Times New Roman" w:hAnsi="Times New Roman" w:cs="Times New Roman"/>
          <w:sz w:val="28"/>
          <w:szCs w:val="28"/>
        </w:rPr>
        <w:t>При формировании доходов городского бюджета на 2024 год не в полном объеме учтена задолженность по арендной плате за земельные участки основного должник</w:t>
      </w:r>
      <w:proofErr w:type="gramStart"/>
      <w:r w:rsidRPr="00BF25E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F25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25EC">
        <w:rPr>
          <w:rFonts w:ascii="Times New Roman" w:hAnsi="Times New Roman" w:cs="Times New Roman"/>
          <w:sz w:val="28"/>
          <w:szCs w:val="28"/>
        </w:rPr>
        <w:t>Нортех</w:t>
      </w:r>
      <w:proofErr w:type="spellEnd"/>
      <w:r w:rsidRPr="00BF25EC">
        <w:rPr>
          <w:rFonts w:ascii="Times New Roman" w:hAnsi="Times New Roman" w:cs="Times New Roman"/>
          <w:sz w:val="28"/>
          <w:szCs w:val="28"/>
        </w:rPr>
        <w:t>», которая по состоянию на 01.11.2023 составила 7900,0 тыс. руб. В течение 2023 года в городской бюджет от ООО «</w:t>
      </w:r>
      <w:proofErr w:type="spellStart"/>
      <w:r w:rsidRPr="00BF25EC">
        <w:rPr>
          <w:rFonts w:ascii="Times New Roman" w:hAnsi="Times New Roman" w:cs="Times New Roman"/>
          <w:sz w:val="28"/>
          <w:szCs w:val="28"/>
        </w:rPr>
        <w:t>Нортех</w:t>
      </w:r>
      <w:proofErr w:type="spellEnd"/>
      <w:r w:rsidRPr="00BF25EC">
        <w:rPr>
          <w:rFonts w:ascii="Times New Roman" w:hAnsi="Times New Roman" w:cs="Times New Roman"/>
          <w:sz w:val="28"/>
          <w:szCs w:val="28"/>
        </w:rPr>
        <w:t>» поступило всего 2984,0 тыс. руб.</w:t>
      </w:r>
    </w:p>
    <w:p w:rsidR="00F9365C" w:rsidRPr="00BF25E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имеются резервы по увеличению данного вида неналоговых доходов в течение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в результате взыскания задолженности и проведения </w:t>
      </w:r>
      <w:proofErr w:type="spellStart"/>
      <w:r w:rsidRPr="00BF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Pr="00BF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F9365C" w:rsidRPr="00BF25E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сдачи в аренду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1810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ростом к плану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расчете прогноза учтен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введение моратория на применение коэффициента-дефлятора при расчете арендной платы за пользование объектами муниципальной собственности в соответствии с постановлением Правительства Кировской области от 13.07.2022 № 362-П.</w:t>
      </w:r>
      <w:proofErr w:type="gramEnd"/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учтены дополнительные поступления в виде неисполненных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282,0 тыс. руб. (ИП Решетникова Е.П. 2,1 тыс. руб.,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Фобист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238,9 тыс. руб.,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 тыс.</w:t>
      </w: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9365C" w:rsidRPr="007C3A73" w:rsidRDefault="00F9365C" w:rsidP="00F9365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2025-2026 годов прогнозируется снижение доходов от аренды имущества относительно 2024 года на 11,3% в 2025 году и на 7,2% в 2026 году.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доходы от использования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спланированы в объеме 500,0 тыс. руб., что меньше поступлений </w:t>
      </w:r>
      <w:r w:rsidR="0030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200,0 тыс. руб., или на 28,6%. На 2025-2026 годы прогнозируется снижение поступлений прочих доходов от использования имущества в связи со снижением поступлений платы за на</w:t>
      </w:r>
      <w:r w:rsidR="00301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помещений в результате приватизации квартир, находящихся в муниципальной собственности.</w:t>
      </w:r>
      <w:proofErr w:type="gramEnd"/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спрогнозированы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1005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 поступлений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текущего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5 раз.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расчет доходов произведен исходя из прогноза социально-экономического развития муниципальных предприятий. 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анализ финансовых показателей работы муниципальных предприятий за два предыдущих года показал, что с прибылью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и 2022 годах сработали три предприятия: </w:t>
      </w:r>
      <w:r w:rsidRPr="00F152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«ЕКЦ города Вятские Поляны», МП «Благоустройство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 «Здоровье». Размер </w:t>
      </w:r>
      <w:r w:rsidRPr="003B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</w:t>
      </w:r>
      <w:r w:rsidRPr="003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Pr="003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перечисления части прибыли, остающейся после уплаты налогов и иных обязательных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платежей, в городской бюджет по итогам работы за 2021 год составил 3172,6 тыс. руб., за 2022 год составил 5648,8 тыс. руб.</w:t>
      </w:r>
    </w:p>
    <w:p w:rsidR="00F9365C" w:rsidRPr="009A500B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работы за 9 месяцев 2023 года два предприятия сработали с прибылью: </w:t>
      </w:r>
      <w:r w:rsidRPr="009A50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«ЕКЦ города Вятские Поляны» в сумме 3869,0 тыс. руб., МП «Благоустройство города Вятские Поляны» в сумме 1987,0 тыс. руб.</w:t>
      </w:r>
    </w:p>
    <w:p w:rsidR="00F9365C" w:rsidRPr="009A500B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размер дох</w:t>
      </w:r>
      <w:r w:rsidRPr="009A5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одов от перечисления части прибыли, остающейся после уплаты налогов и иных обязательных платежей с учетом деятельности предприятий в 4 квартале 2023 года, превысит плановые показатели, предусмотренные в городском бюджете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A5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F9365C" w:rsidRPr="00E73FE4" w:rsidRDefault="00F9365C" w:rsidP="00F93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F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платежей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спрогнозирован на 2024 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1787,0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планируемых поступлений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1201,2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раза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прогноза доходов от платы за негативное воздействие на окружающую среду составлен главным администратором доходов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Кировской области.</w:t>
      </w:r>
    </w:p>
    <w:p w:rsidR="00F9365C" w:rsidRPr="00115516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прогнозируемых поступлений платежей при пользовании природными ресурсами наибольш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1067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руб.), плат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выбросы загрязняющих веществ в атмосферный воздух стационарными объектами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651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руб.).</w:t>
      </w:r>
    </w:p>
    <w:p w:rsidR="00F9365C" w:rsidRPr="007C3A73" w:rsidRDefault="00F9365C" w:rsidP="00F9365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2025-2026 годов </w:t>
      </w:r>
      <w:r w:rsidRPr="000E7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пользовании природными ресурсами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спрогнозированы на уровне 2024 года.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3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приватизации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имущества на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 год и плановый период 2025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Вятскополянской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Думы от 04.10.2023 № 24/223, </w:t>
      </w:r>
      <w:r w:rsidRPr="00E94F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доходы от реализации имущества</w:t>
      </w:r>
      <w:r w:rsidRPr="00FD33B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спрогнозированы в 2024 году в сумме 1500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прогноз поступлений д</w:t>
      </w:r>
      <w:r w:rsidRPr="00B80EB6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B80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реализации имущества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2024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ключена продажа одного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– нежилого помещения,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Вятские Поляны, ул. Октябрьская, д. 22 стоимостью 1500,0 тыс.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руб. Относительно прогнозного плана на 2023 год поступления д</w:t>
      </w:r>
      <w:r w:rsidRPr="00B80EB6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B80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реализации имущ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 спланированы со снижением на 255,0 тыс.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Причиной снижения прогнозируемых доходов от продажи имущества в 2024 году по сравнению с 2023 годом является </w:t>
      </w:r>
      <w:r>
        <w:rPr>
          <w:rFonts w:ascii="Times New Roman" w:hAnsi="Times New Roman"/>
          <w:sz w:val="28"/>
          <w:szCs w:val="28"/>
        </w:rPr>
        <w:t>отсутствие ликвидного имущества в муниципальной собственности, подлежащего приватизации.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2025–2026 годов поступления доходов от реализации имущества не запланированы.</w:t>
      </w:r>
    </w:p>
    <w:p w:rsidR="00F9365C" w:rsidRPr="00885DC4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реализации земельных участков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спрогнозированы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7000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951,3 тыс. руб. больше плана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прогнозном плане поступления доходов от реализации земельных участков в 2023 году в размере 6048,7,0 тыс. руб. фактическое поступление по итогам 9 месяцев 2023 года составило 2839,7 тыс. руб., или 40,6%.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фактического поступления в городской бюджет доходов от реализации земельных участков за период 2020-2022 годов показал, что в среднем в год доходы поступали в сумме 3191,3 тыс. руб. (в 2020 году – 3112,3 тыс. руб., в 2021 году – 1556,4 тыс. руб., в 2022 – 4905,1 тыс. руб.).</w:t>
      </w:r>
    </w:p>
    <w:p w:rsidR="00F9365C" w:rsidRPr="00885DC4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Обоснований значительного роста поступлений доходов от реализации земельных участков в 2024 году в пояснительной записке к проекту решения не представлено, следовательно, прогноз доходов от реализации земельных участков завышен, что может привести к невыполнению плановых назначений и, соответственно, корректировке в течение года.</w:t>
      </w:r>
    </w:p>
    <w:p w:rsidR="00F9365C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плановый период 2025-2026 годов доходы от реализации земельных участков составят 1000,0 тыс. руб. ежегодно.</w:t>
      </w:r>
    </w:p>
    <w:p w:rsidR="00F9365C" w:rsidRPr="00885DC4" w:rsidRDefault="00F9365C" w:rsidP="00F93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ируемая сумма поступлений в бюджет 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от оказания платных услуг 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города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и плановый период 2025-2026 годов </w:t>
      </w:r>
      <w:r w:rsidRPr="00044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поступлений запланирована в размере 37865</w:t>
      </w:r>
      <w:r w:rsidRPr="00044D5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что больше поступлений текущего года на 2025,0 тыс. руб., или на 5,7%.</w:t>
      </w:r>
    </w:p>
    <w:p w:rsidR="00F9365C" w:rsidRPr="000B58AF" w:rsidRDefault="00F9365C" w:rsidP="00F93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прогноза на 2024 год учтены следующие факторы: рост посещаемости детьми дошкольных учреждений; увеличение количества обучающихся в общеобразовательных учреждениях и рост доходов от работы школьных лагерей в каникулярное время.</w:t>
      </w:r>
    </w:p>
    <w:p w:rsidR="00F9365C" w:rsidRDefault="00F9365C" w:rsidP="00F936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снижением к плановым показателям 2023 года на 52,8%, или на 775,0 тыс. руб., прогнозируются 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штрафов, санкций, возмещения ущерба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694,0</w:t>
      </w:r>
      <w:r w:rsidRPr="005D6C3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2025 год доходы от штрафов, санкций, возмещения ущерба запланированы в сумме 675,0 тыс. руб., на 2026 год – в сумме 695,0 тыс. руб.</w:t>
      </w:r>
      <w:proofErr w:type="gramEnd"/>
    </w:p>
    <w:p w:rsidR="00F9365C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на 2024 год меньше доходов 2023 года, так как в текущем году по решению суда возмещена сумма средств из областного бюджета в размере 809,6 тыс. руб. - стоимость квартиры, приобретенной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году за счет средств городского бюджета. На 2024 год штрафы по данному коду бюджетной классификации не планируются. </w:t>
      </w:r>
    </w:p>
    <w:p w:rsidR="00F9365C" w:rsidRPr="00BC3577" w:rsidRDefault="00F9365C" w:rsidP="00F936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5C" w:rsidRPr="001B7EC9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неналоговые доходы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12865,1 тыс. руб. с ростом к плану текущего года в </w:t>
      </w:r>
      <w:r w:rsidR="000834FC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составе прочих неналоговых доходов учтены инициативные платежи в сумме 8565,1 тыс. руб. (средства населения и спонсоров для реализации ППМИ)</w:t>
      </w:r>
      <w:r w:rsidR="0094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2025-2026 годов прочие неналоговые доходы спрогнозированы в сумме 4300,0 тыс. руб.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65C" w:rsidRDefault="00F9365C" w:rsidP="00F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365C" w:rsidRDefault="00F9365C" w:rsidP="00F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4.3. 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>Безвозмездные поступления в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годах</w:t>
      </w:r>
    </w:p>
    <w:p w:rsidR="00F9365C" w:rsidRPr="00F51F6C" w:rsidRDefault="00F9365C" w:rsidP="00F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>
        <w:rPr>
          <w:rFonts w:ascii="Times New Roman" w:hAnsi="Times New Roman" w:cs="Times New Roman"/>
          <w:sz w:val="28"/>
          <w:szCs w:val="28"/>
        </w:rPr>
        <w:t>504016,5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ниже плана </w:t>
      </w:r>
      <w:r w:rsidRPr="001B7EC9">
        <w:rPr>
          <w:rFonts w:ascii="Times New Roman" w:hAnsi="Times New Roman" w:cs="Times New Roman"/>
          <w:sz w:val="28"/>
          <w:szCs w:val="28"/>
        </w:rPr>
        <w:t xml:space="preserve">текущего года на </w:t>
      </w:r>
      <w:r>
        <w:rPr>
          <w:rFonts w:ascii="Times New Roman" w:hAnsi="Times New Roman" w:cs="Times New Roman"/>
          <w:sz w:val="28"/>
          <w:szCs w:val="28"/>
        </w:rPr>
        <w:t>341270,2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40,4</w:t>
      </w:r>
      <w:r w:rsidRPr="001B7EC9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В 2024 году дотации спланированы в объеме 90599,0 тыс. руб., субсидии – 147705,7 тыс. руб., субвенции – 241549,9 тыс. руб., иные межбюджетные трансферты – 23528,9 тыс.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ранее, объемы безвозмездных поступлений в городской бюджет и соответствующих расходов могут измениться после принятия федерального и областного бюджетов на 2024-2026 годы и распределения средств между регионами и, соответственно, между муниципальными образованиями Кировской области. 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B7E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7E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7EC9">
        <w:rPr>
          <w:rFonts w:ascii="Times New Roman" w:hAnsi="Times New Roman" w:cs="Times New Roman"/>
          <w:sz w:val="28"/>
          <w:szCs w:val="28"/>
        </w:rPr>
        <w:t xml:space="preserve"> представлена в таблице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498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850"/>
        <w:gridCol w:w="993"/>
        <w:gridCol w:w="781"/>
        <w:gridCol w:w="1062"/>
        <w:gridCol w:w="639"/>
        <w:gridCol w:w="1134"/>
        <w:gridCol w:w="637"/>
      </w:tblGrid>
      <w:tr w:rsidR="00F9365C" w:rsidRPr="001B7EC9" w:rsidTr="00031283">
        <w:trPr>
          <w:cantSplit/>
          <w:trHeight w:val="285"/>
          <w:jc w:val="center"/>
        </w:trPr>
        <w:tc>
          <w:tcPr>
            <w:tcW w:w="2410" w:type="dxa"/>
            <w:vMerge w:val="restart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842" w:type="dxa"/>
            <w:gridSpan w:val="2"/>
            <w:vAlign w:val="center"/>
          </w:tcPr>
          <w:p w:rsidR="00F9365C" w:rsidRPr="001B7EC9" w:rsidRDefault="00F9365C" w:rsidP="00031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решение В-П городской Думы от 04.10.2023              № 24/220</w:t>
            </w:r>
            <w:r w:rsidRPr="001B7E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74" w:type="dxa"/>
            <w:gridSpan w:val="2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71" w:type="dxa"/>
            <w:gridSpan w:val="2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F9365C" w:rsidRPr="001B7EC9" w:rsidTr="00031283">
        <w:trPr>
          <w:cantSplit/>
          <w:trHeight w:val="229"/>
          <w:jc w:val="center"/>
        </w:trPr>
        <w:tc>
          <w:tcPr>
            <w:tcW w:w="2410" w:type="dxa"/>
            <w:vMerge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ес, %</w:t>
            </w:r>
          </w:p>
        </w:tc>
        <w:tc>
          <w:tcPr>
            <w:tcW w:w="993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81" w:type="dxa"/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  <w:tc>
          <w:tcPr>
            <w:tcW w:w="1062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639" w:type="dxa"/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  <w:tc>
          <w:tcPr>
            <w:tcW w:w="1134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637" w:type="dxa"/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</w:tr>
      <w:tr w:rsidR="00F9365C" w:rsidRPr="001B7EC9" w:rsidTr="00031283">
        <w:trPr>
          <w:trHeight w:val="341"/>
          <w:jc w:val="center"/>
        </w:trPr>
        <w:tc>
          <w:tcPr>
            <w:tcW w:w="2410" w:type="dxa"/>
            <w:vAlign w:val="center"/>
          </w:tcPr>
          <w:p w:rsidR="00F9365C" w:rsidRPr="00393BE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E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всего, в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числе</w:t>
            </w:r>
          </w:p>
        </w:tc>
        <w:tc>
          <w:tcPr>
            <w:tcW w:w="992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845286,7</w:t>
            </w:r>
          </w:p>
        </w:tc>
        <w:tc>
          <w:tcPr>
            <w:tcW w:w="850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504016,5</w:t>
            </w:r>
          </w:p>
        </w:tc>
        <w:tc>
          <w:tcPr>
            <w:tcW w:w="781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2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416010,4</w:t>
            </w:r>
          </w:p>
        </w:tc>
        <w:tc>
          <w:tcPr>
            <w:tcW w:w="639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391297,5</w:t>
            </w:r>
          </w:p>
        </w:tc>
        <w:tc>
          <w:tcPr>
            <w:tcW w:w="637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365C" w:rsidRPr="001B7EC9" w:rsidTr="00031283">
        <w:trPr>
          <w:trHeight w:val="331"/>
          <w:jc w:val="center"/>
        </w:trPr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отации на </w:t>
            </w:r>
            <w:proofErr w:type="spellStart"/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выравнива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992" w:type="dxa"/>
            <w:vAlign w:val="center"/>
          </w:tcPr>
          <w:p w:rsidR="00F9365C" w:rsidRPr="002A37F8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84382,0</w:t>
            </w:r>
          </w:p>
        </w:tc>
        <w:tc>
          <w:tcPr>
            <w:tcW w:w="850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90599,0</w:t>
            </w:r>
          </w:p>
        </w:tc>
        <w:tc>
          <w:tcPr>
            <w:tcW w:w="781" w:type="dxa"/>
            <w:vAlign w:val="center"/>
          </w:tcPr>
          <w:p w:rsidR="00F9365C" w:rsidRPr="001B7EC9" w:rsidRDefault="00F9365C" w:rsidP="00F6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41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62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69311,0</w:t>
            </w:r>
          </w:p>
        </w:tc>
        <w:tc>
          <w:tcPr>
            <w:tcW w:w="639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68070,0</w:t>
            </w:r>
          </w:p>
        </w:tc>
        <w:tc>
          <w:tcPr>
            <w:tcW w:w="637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F9365C" w:rsidRPr="001B7EC9" w:rsidTr="00031283">
        <w:trPr>
          <w:trHeight w:val="191"/>
          <w:jc w:val="center"/>
        </w:trPr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235652,8</w:t>
            </w:r>
          </w:p>
        </w:tc>
        <w:tc>
          <w:tcPr>
            <w:tcW w:w="850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993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147705,7</w:t>
            </w:r>
          </w:p>
        </w:tc>
        <w:tc>
          <w:tcPr>
            <w:tcW w:w="781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62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103271,8</w:t>
            </w:r>
          </w:p>
        </w:tc>
        <w:tc>
          <w:tcPr>
            <w:tcW w:w="639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81940,0</w:t>
            </w:r>
          </w:p>
        </w:tc>
        <w:tc>
          <w:tcPr>
            <w:tcW w:w="637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F9365C" w:rsidRPr="001B7EC9" w:rsidTr="00031283">
        <w:trPr>
          <w:trHeight w:val="113"/>
          <w:jc w:val="center"/>
        </w:trPr>
        <w:tc>
          <w:tcPr>
            <w:tcW w:w="2410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223800,2</w:t>
            </w:r>
          </w:p>
        </w:tc>
        <w:tc>
          <w:tcPr>
            <w:tcW w:w="850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93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241549,9</w:t>
            </w:r>
          </w:p>
        </w:tc>
        <w:tc>
          <w:tcPr>
            <w:tcW w:w="781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062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230476,0</w:t>
            </w:r>
          </w:p>
        </w:tc>
        <w:tc>
          <w:tcPr>
            <w:tcW w:w="639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228332,9</w:t>
            </w:r>
          </w:p>
        </w:tc>
        <w:tc>
          <w:tcPr>
            <w:tcW w:w="637" w:type="dxa"/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F9365C" w:rsidRPr="001B7EC9" w:rsidTr="00031283">
        <w:trPr>
          <w:trHeight w:val="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12318,6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F9365C" w:rsidRPr="001B7EC9" w:rsidTr="00031283">
        <w:trPr>
          <w:trHeight w:val="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9365C" w:rsidRPr="001B7EC9" w:rsidTr="00031283">
        <w:trPr>
          <w:trHeight w:val="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субси-дий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субвенций и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1B7EC9" w:rsidRDefault="00F9365C" w:rsidP="000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65C" w:rsidRDefault="00F9365C" w:rsidP="00F9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безвозмездных поступлений в 2024 году по сравнению с уточненным планом 2023 года в большей степени обусловлено снижением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иных межбюджетных трансфертов в 12,7 раз (с 299992,2 тыс. руб. до 23528,9 тыс. руб.). 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безвозмездных поступлений в 2024 году к уточненному плану 2023 года прогнозируется по субвенциям на 17749,9 тыс. руб. (на 7,9%), дотации на выравнивание бюджетной обеспеченности на 6217,0 тыс. руб. (на 7,4%).</w:t>
      </w:r>
    </w:p>
    <w:p w:rsidR="00F9365C" w:rsidRPr="001B7EC9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безвозмездные поступления планируются со снижением к прогнозу 2024 года на 17,5%, в 2026 году – с</w:t>
      </w:r>
      <w:r w:rsidR="00292DD9">
        <w:rPr>
          <w:rFonts w:ascii="Times New Roman" w:hAnsi="Times New Roman" w:cs="Times New Roman"/>
          <w:sz w:val="28"/>
          <w:szCs w:val="28"/>
        </w:rPr>
        <w:t>о снижением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2D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к прогнозу 202</w:t>
      </w:r>
      <w:r w:rsidR="00292D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365C" w:rsidRPr="001B7EC9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 отношению к 2023 году прогнозируется снижение </w:t>
      </w:r>
      <w:r w:rsidRPr="005214D3">
        <w:rPr>
          <w:rFonts w:ascii="Times New Roman" w:hAnsi="Times New Roman" w:cs="Times New Roman"/>
          <w:i/>
          <w:sz w:val="28"/>
          <w:szCs w:val="28"/>
        </w:rPr>
        <w:t>субсидий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87947,1 тыс. руб., в том числе: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программ формирования современной городской среды на 1377,1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жильем молодых семей на 78,9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отрасли культуры на 3,6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мероприятий по обеспечению деятельности советников директора по воспитанию и взаимодействию с детскими общественными организациями на 18,4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выполнение расходных обязательств на 24368,8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повышение уровня подготовки лиц, замещающих муниципальные должности</w:t>
      </w:r>
      <w:r w:rsidR="00292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18,3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стоимости питания детей в лагерях в каникулярное время на 30,8 тыс. руб. 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2024 году по отношению к 2023 году планируется увеличение субсидии</w:t>
      </w:r>
      <w:r w:rsidRPr="009B05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на 27733,0 тыс. руб., или в 3,5 раза, на организацию бесплатного горячего питания обучающихся, получающих </w:t>
      </w:r>
      <w:r w:rsidR="00292DD9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 муниципальных образовательных организациях</w:t>
      </w:r>
      <w:r w:rsidR="00292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432,8 тыс. руб., на организацию деятельности народных дружин</w:t>
      </w:r>
      <w:r w:rsidR="00292DD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48,7 тыс. руб., или на 48,2%.</w:t>
      </w:r>
      <w:proofErr w:type="gramEnd"/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планируется предоставление субсидии </w:t>
      </w:r>
      <w:r w:rsidRPr="00181E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строительство и реконструкцию объектов питьевого водоснабжения (в 2023 году – 47748,2 тыс. руб.), на обеспечение мероприятий по переселению граждан из аварийного жилищного фонда (в 2023 году – 10731,4 тыс. руб.), на реализацию мер, направленных на выполнение предписаний надзорных органов (в 2023 году – 6616,6 тыс. руб.), на реализацию ГП Кировской области «Развитие физической культуры и спорта» (в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– 5200,0 тыс. руб.),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инвестиционных программ и проектов развития общественной инфраструктуры (в 2023 году – 15314,9 тыс. руб.), на создание мест (площадок) накопления твердых бытовых отходов (в 2023 году – 2036,6 тыс. руб.), на оборудование (дооборудование) пляжей (мест отдыха у воды) (в 2023 году – 600,0 тыс. руб.).</w:t>
      </w:r>
      <w:proofErr w:type="gramEnd"/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63">
        <w:rPr>
          <w:rFonts w:ascii="Times New Roman" w:hAnsi="Times New Roman" w:cs="Times New Roman"/>
          <w:i/>
          <w:sz w:val="28"/>
          <w:szCs w:val="28"/>
        </w:rPr>
        <w:lastRenderedPageBreak/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2024 году по отношению к уточненному плану 2023 года увеличены на 17749,7 тыс. руб., в том числе по следующим направлениям: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выполнение передаваемых полномочий субъектам РФ на 306,1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назначению и выплате ежемесячных денежных выплат на детей-сирот на 472,0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начислению и выплате компенсации платы, взимаемой с родителей на присмотр и уход за детьми, посещающими образовательные организации, реализующие образовательные программы дошкольного образования на 101,6 тыс. руб.;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предоставление жилых помещений детям-сиротам на 8779,2 тыс. руб.;</w:t>
      </w:r>
    </w:p>
    <w:p w:rsidR="00F9365C" w:rsidRPr="00C43B9A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9A">
        <w:rPr>
          <w:rFonts w:ascii="Times New Roman" w:hAnsi="Times New Roman" w:cs="Times New Roman"/>
          <w:sz w:val="28"/>
          <w:szCs w:val="28"/>
        </w:rPr>
        <w:t xml:space="preserve">- на реализацию </w:t>
      </w:r>
      <w:proofErr w:type="gramStart"/>
      <w:r w:rsidRPr="00C43B9A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C43B9A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на</w:t>
      </w:r>
      <w:r>
        <w:rPr>
          <w:rFonts w:ascii="Times New Roman" w:hAnsi="Times New Roman" w:cs="Times New Roman"/>
          <w:sz w:val="28"/>
          <w:szCs w:val="28"/>
        </w:rPr>
        <w:t xml:space="preserve"> 3796,0</w:t>
      </w:r>
      <w:r w:rsidRPr="00C43B9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 детей в муниципальных общеобразовательных организациях на 4297,7 тыс. руб.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 объем субвенции по составлению (изменению) списков кандидатов в присяжные заседатели на 50,9%. </w:t>
      </w: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5C" w:rsidRDefault="00F9365C" w:rsidP="00F9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2024 году планируется поступление </w:t>
      </w:r>
      <w:r w:rsidRPr="0012310C">
        <w:rPr>
          <w:rFonts w:ascii="Times New Roman" w:hAnsi="Times New Roman" w:cs="Times New Roman"/>
          <w:i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в сумме 23528,9 тыс. руб. со снижением к предыдущему году на 276463,3 тыс. руб. (в 2023 году выделены средства на реконструкцию моста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Ошторма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261576,6 тыс. руб. и на приобретение подвижного состава пассажирского транспорта общего</w:t>
      </w:r>
      <w:r w:rsidRPr="00F9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 в сумме 13282,0 тыс. руб.).</w:t>
      </w:r>
      <w:proofErr w:type="gramEnd"/>
    </w:p>
    <w:p w:rsidR="00F9365C" w:rsidRDefault="00F9365C" w:rsidP="00F9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5B9" w:rsidRPr="00AA0DBE" w:rsidRDefault="005455B9" w:rsidP="0054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DBE">
        <w:rPr>
          <w:rFonts w:ascii="Times New Roman" w:eastAsia="Calibri" w:hAnsi="Times New Roman" w:cs="Times New Roman"/>
          <w:b/>
          <w:sz w:val="28"/>
          <w:szCs w:val="28"/>
        </w:rPr>
        <w:t>5. Расходы городского бюджета на 202</w:t>
      </w:r>
      <w:r w:rsidR="00CD5FD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D5FD6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годы</w:t>
      </w:r>
    </w:p>
    <w:p w:rsidR="005455B9" w:rsidRPr="00AA0DBE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C3B">
        <w:rPr>
          <w:rFonts w:ascii="Times New Roman" w:eastAsia="Calibri" w:hAnsi="Times New Roman" w:cs="Times New Roman"/>
          <w:sz w:val="28"/>
          <w:szCs w:val="28"/>
        </w:rPr>
        <w:t>Р</w:t>
      </w:r>
      <w:r w:rsidR="000B3C3B" w:rsidRPr="00AA0DBE">
        <w:rPr>
          <w:rFonts w:ascii="Times New Roman" w:hAnsi="Times New Roman" w:cs="Times New Roman"/>
          <w:b/>
          <w:sz w:val="28"/>
          <w:szCs w:val="28"/>
        </w:rPr>
        <w:t>асходы городского бюджета</w:t>
      </w:r>
      <w:r w:rsidR="000B3C3B" w:rsidRPr="00AA0D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3C3B">
        <w:rPr>
          <w:rFonts w:ascii="Times New Roman" w:hAnsi="Times New Roman" w:cs="Times New Roman"/>
          <w:sz w:val="28"/>
          <w:szCs w:val="28"/>
        </w:rPr>
        <w:t>4</w:t>
      </w:r>
      <w:r w:rsidR="000B3C3B" w:rsidRPr="00AA0DB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A0DBE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 w:rsidR="002D0398">
        <w:rPr>
          <w:rFonts w:ascii="Times New Roman" w:hAnsi="Times New Roman" w:cs="Times New Roman"/>
          <w:sz w:val="28"/>
          <w:szCs w:val="28"/>
        </w:rPr>
        <w:t>848638,6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D0398"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>В 202</w:t>
      </w:r>
      <w:r w:rsidR="002D0398">
        <w:rPr>
          <w:rFonts w:ascii="Times New Roman" w:eastAsia="Calibri" w:hAnsi="Times New Roman" w:cs="Times New Roman"/>
          <w:sz w:val="28"/>
          <w:szCs w:val="28"/>
        </w:rPr>
        <w:t>5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году расходы прогнозируются с </w:t>
      </w:r>
      <w:r w:rsidR="002D0398">
        <w:rPr>
          <w:rFonts w:ascii="Times New Roman" w:eastAsia="Calibri" w:hAnsi="Times New Roman" w:cs="Times New Roman"/>
          <w:sz w:val="28"/>
          <w:szCs w:val="28"/>
        </w:rPr>
        <w:t>уменьшением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к про</w:t>
      </w:r>
      <w:r w:rsidR="002D0398">
        <w:rPr>
          <w:rFonts w:ascii="Times New Roman" w:eastAsia="Calibri" w:hAnsi="Times New Roman" w:cs="Times New Roman"/>
          <w:sz w:val="28"/>
          <w:szCs w:val="28"/>
        </w:rPr>
        <w:t>екту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D039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года на </w:t>
      </w:r>
      <w:r w:rsidR="002D0398">
        <w:rPr>
          <w:rFonts w:ascii="Times New Roman" w:eastAsia="Calibri" w:hAnsi="Times New Roman" w:cs="Times New Roman"/>
          <w:sz w:val="28"/>
          <w:szCs w:val="28"/>
        </w:rPr>
        <w:t>12,6</w:t>
      </w:r>
      <w:r w:rsidRPr="00AA0DBE">
        <w:rPr>
          <w:rFonts w:ascii="Times New Roman" w:eastAsia="Calibri" w:hAnsi="Times New Roman" w:cs="Times New Roman"/>
          <w:sz w:val="28"/>
          <w:szCs w:val="28"/>
        </w:rPr>
        <w:t>%, в 202</w:t>
      </w:r>
      <w:r w:rsidR="002D0398">
        <w:rPr>
          <w:rFonts w:ascii="Times New Roman" w:eastAsia="Calibri" w:hAnsi="Times New Roman" w:cs="Times New Roman"/>
          <w:sz w:val="28"/>
          <w:szCs w:val="28"/>
        </w:rPr>
        <w:t>6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году по отношению к про</w:t>
      </w:r>
      <w:r>
        <w:rPr>
          <w:rFonts w:ascii="Times New Roman" w:eastAsia="Calibri" w:hAnsi="Times New Roman" w:cs="Times New Roman"/>
          <w:sz w:val="28"/>
          <w:szCs w:val="28"/>
        </w:rPr>
        <w:t>екту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D0398">
        <w:rPr>
          <w:rFonts w:ascii="Times New Roman" w:eastAsia="Calibri" w:hAnsi="Times New Roman" w:cs="Times New Roman"/>
          <w:sz w:val="28"/>
          <w:szCs w:val="28"/>
        </w:rPr>
        <w:t>5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прогнозируются </w:t>
      </w:r>
      <w:r w:rsidRPr="00AA0DB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снижением на 1,</w:t>
      </w:r>
      <w:r w:rsidR="002D039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AA0D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398" w:rsidRDefault="002D0398" w:rsidP="002D0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н</w:t>
      </w:r>
      <w:r w:rsidRPr="00AA0DBE">
        <w:rPr>
          <w:rFonts w:ascii="Times New Roman" w:hAnsi="Times New Roman" w:cs="Times New Roman"/>
          <w:sz w:val="28"/>
          <w:szCs w:val="28"/>
        </w:rPr>
        <w:t xml:space="preserve">аибольший объем расходов планируется направить на образование – </w:t>
      </w:r>
      <w:r>
        <w:rPr>
          <w:rFonts w:ascii="Times New Roman" w:hAnsi="Times New Roman" w:cs="Times New Roman"/>
          <w:sz w:val="28"/>
          <w:szCs w:val="28"/>
        </w:rPr>
        <w:t>512693,1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., или 60,4%</w:t>
      </w:r>
      <w:r w:rsidRPr="00B221D7"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национальную экономику – 91425,3 тыс. руб. (10,8%), общегосударственные расходы – 74025,6 тыс. руб. (8,7%).</w:t>
      </w:r>
    </w:p>
    <w:p w:rsidR="00C8196B" w:rsidRPr="00AA0DBE" w:rsidRDefault="00C8196B" w:rsidP="00C8196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расходов на жилищно-коммунальное хозяйство составит 61625,1 тыс. руб., или 7,2% от общего объема расходов.</w:t>
      </w:r>
    </w:p>
    <w:p w:rsidR="00C8196B" w:rsidRPr="00AA0DBE" w:rsidRDefault="00C8196B" w:rsidP="002D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Информация об объемах расходов на </w:t>
      </w:r>
      <w:r w:rsidRPr="00AA0DBE">
        <w:rPr>
          <w:rFonts w:ascii="Times New Roman" w:eastAsia="Calibri" w:hAnsi="Times New Roman" w:cs="Times New Roman"/>
          <w:sz w:val="28"/>
          <w:szCs w:val="28"/>
        </w:rPr>
        <w:t>202</w:t>
      </w:r>
      <w:r w:rsidR="002D0398">
        <w:rPr>
          <w:rFonts w:ascii="Times New Roman" w:eastAsia="Calibri" w:hAnsi="Times New Roman" w:cs="Times New Roman"/>
          <w:sz w:val="28"/>
          <w:szCs w:val="28"/>
        </w:rPr>
        <w:t>4</w:t>
      </w:r>
      <w:r w:rsidRPr="00AA0DBE">
        <w:rPr>
          <w:rFonts w:ascii="Times New Roman" w:eastAsia="Calibri" w:hAnsi="Times New Roman" w:cs="Times New Roman"/>
          <w:sz w:val="28"/>
          <w:szCs w:val="28"/>
        </w:rPr>
        <w:t>-202</w:t>
      </w:r>
      <w:r w:rsidR="002D0398">
        <w:rPr>
          <w:rFonts w:ascii="Times New Roman" w:eastAsia="Calibri" w:hAnsi="Times New Roman" w:cs="Times New Roman"/>
          <w:sz w:val="28"/>
          <w:szCs w:val="28"/>
        </w:rPr>
        <w:t>6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 в разрезе разделов функциональной классификации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представлена в таблице (тыс.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>руб.):</w:t>
      </w:r>
    </w:p>
    <w:p w:rsidR="005455B9" w:rsidRPr="00D10077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62" w:type="pct"/>
        <w:tblInd w:w="108" w:type="dxa"/>
        <w:tblLayout w:type="fixed"/>
        <w:tblLook w:val="04A0"/>
      </w:tblPr>
      <w:tblGrid>
        <w:gridCol w:w="2411"/>
        <w:gridCol w:w="1145"/>
        <w:gridCol w:w="826"/>
        <w:gridCol w:w="1005"/>
        <w:gridCol w:w="710"/>
        <w:gridCol w:w="992"/>
        <w:gridCol w:w="684"/>
        <w:gridCol w:w="1016"/>
        <w:gridCol w:w="709"/>
      </w:tblGrid>
      <w:tr w:rsidR="005455B9" w:rsidRPr="005A4894" w:rsidTr="005455B9">
        <w:trPr>
          <w:trHeight w:val="364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Pr="001C0AAF" w:rsidRDefault="005455B9" w:rsidP="00545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D0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C0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12D5E" w:rsidRDefault="005455B9" w:rsidP="005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(решение В-П городской Думы </w:t>
            </w:r>
            <w:proofErr w:type="gramEnd"/>
          </w:p>
          <w:p w:rsidR="005455B9" w:rsidRDefault="005455B9" w:rsidP="005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0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455B9" w:rsidRPr="005A4894" w:rsidRDefault="005455B9" w:rsidP="002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/2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C0AA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CD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D5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CD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D5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CD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D5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55B9" w:rsidRPr="005A4894" w:rsidTr="005455B9">
        <w:trPr>
          <w:trHeight w:val="213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1175914,1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848638,6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54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54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729628,2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455B9" w:rsidRPr="005A4894" w:rsidTr="005455B9">
        <w:trPr>
          <w:trHeight w:val="14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5455B9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D0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34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82459,9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92027,6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2D0398" w:rsidRPr="005A4894" w:rsidTr="005455B9">
        <w:trPr>
          <w:trHeight w:val="14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98" w:rsidRPr="0006040E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0A514C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BF003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Pr="00E47BBC" w:rsidRDefault="000A514C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BF003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BF003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55B9" w:rsidRPr="005A4894" w:rsidTr="005455B9">
        <w:trPr>
          <w:trHeight w:val="26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A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455B9" w:rsidRPr="005A4894" w:rsidTr="005455B9">
        <w:trPr>
          <w:trHeight w:val="13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357817,5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91425,3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26591,9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22506,2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5455B9" w:rsidRPr="005A4894" w:rsidTr="005455B9">
        <w:trPr>
          <w:trHeight w:val="62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115596,3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61625,1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9317,0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9317,0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5455B9" w:rsidRPr="005A4894" w:rsidTr="005455B9">
        <w:trPr>
          <w:trHeight w:val="122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455B9" w:rsidRPr="005A4894" w:rsidTr="005455B9">
        <w:trPr>
          <w:trHeight w:val="181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515569,1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512693,1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4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54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4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505649,2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5455B9" w:rsidRPr="005A4894" w:rsidTr="005455B9">
        <w:trPr>
          <w:trHeight w:val="114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5512,6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51841,6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50727,9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50704,5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5455B9" w:rsidRPr="005A4894" w:rsidTr="005455B9">
        <w:trPr>
          <w:trHeight w:val="10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22616,6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20421,7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5455B9" w:rsidRPr="005A4894" w:rsidTr="005455B9">
        <w:trPr>
          <w:trHeight w:val="18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5455B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15591,3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455B9" w:rsidRPr="005A4894" w:rsidTr="005455B9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4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455B9" w:rsidRPr="00E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</w:tbl>
    <w:p w:rsidR="005455B9" w:rsidRPr="005A4894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5B9" w:rsidRDefault="005455B9" w:rsidP="00C8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городского бюджета по видам расходов бюджетной классификации представлен в таблице (тыс. руб.):</w:t>
      </w:r>
    </w:p>
    <w:p w:rsidR="005455B9" w:rsidRPr="00D10077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820"/>
        <w:gridCol w:w="1559"/>
        <w:gridCol w:w="1134"/>
        <w:gridCol w:w="1134"/>
        <w:gridCol w:w="816"/>
      </w:tblGrid>
      <w:tr w:rsidR="009243CB" w:rsidRPr="00AA0DBE" w:rsidTr="005455B9">
        <w:tc>
          <w:tcPr>
            <w:tcW w:w="4820" w:type="dxa"/>
            <w:vMerge w:val="restart"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и наименование расходов городского бюджета</w:t>
            </w:r>
          </w:p>
        </w:tc>
        <w:tc>
          <w:tcPr>
            <w:tcW w:w="1559" w:type="dxa"/>
            <w:vMerge w:val="restart"/>
          </w:tcPr>
          <w:p w:rsidR="005455B9" w:rsidRPr="00AA24C4" w:rsidRDefault="005455B9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81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12D5E" w:rsidRDefault="005455B9" w:rsidP="00512D5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(решение В-П городской Думы </w:t>
            </w:r>
            <w:proofErr w:type="gramEnd"/>
          </w:p>
          <w:p w:rsidR="005455B9" w:rsidRDefault="005455B9" w:rsidP="00512D5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455B9" w:rsidRPr="00AA24C4" w:rsidRDefault="005455B9" w:rsidP="00C8196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5455B9" w:rsidRPr="00AA24C4" w:rsidRDefault="005455B9" w:rsidP="00C8196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на 202</w:t>
            </w:r>
            <w:r w:rsidR="00C81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5455B9" w:rsidRPr="00AA24C4" w:rsidRDefault="005455B9" w:rsidP="00C8196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202</w:t>
            </w:r>
            <w:r w:rsidR="00C81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/202</w:t>
            </w:r>
            <w:r w:rsidR="00C81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243CB" w:rsidRPr="00AA0DBE" w:rsidTr="005455B9">
        <w:tc>
          <w:tcPr>
            <w:tcW w:w="4820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16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559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402002,6</w:t>
            </w:r>
          </w:p>
        </w:tc>
        <w:tc>
          <w:tcPr>
            <w:tcW w:w="1134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407989,3</w:t>
            </w:r>
          </w:p>
        </w:tc>
        <w:tc>
          <w:tcPr>
            <w:tcW w:w="1134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+5986,7</w:t>
            </w:r>
          </w:p>
        </w:tc>
        <w:tc>
          <w:tcPr>
            <w:tcW w:w="816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+1,5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134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257896,1</w:t>
            </w:r>
          </w:p>
        </w:tc>
        <w:tc>
          <w:tcPr>
            <w:tcW w:w="1134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«Социальное обеспечение и иные выплаты населению»</w:t>
            </w:r>
          </w:p>
        </w:tc>
        <w:tc>
          <w:tcPr>
            <w:tcW w:w="1559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34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-113,7</w:t>
            </w:r>
          </w:p>
        </w:tc>
        <w:tc>
          <w:tcPr>
            <w:tcW w:w="816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«Капитальные вложения в объекты государственной (муниципальной) собственности»</w:t>
            </w:r>
          </w:p>
        </w:tc>
        <w:tc>
          <w:tcPr>
            <w:tcW w:w="1559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44005,8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600 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559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118418,3</w:t>
            </w:r>
          </w:p>
        </w:tc>
        <w:tc>
          <w:tcPr>
            <w:tcW w:w="1134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-7685,2</w:t>
            </w:r>
          </w:p>
        </w:tc>
        <w:tc>
          <w:tcPr>
            <w:tcW w:w="816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</w:t>
            </w:r>
            <w:r w:rsidR="009243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14A8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долга»</w:t>
            </w:r>
          </w:p>
        </w:tc>
        <w:tc>
          <w:tcPr>
            <w:tcW w:w="1559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6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+47,2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800 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«Иные бюджетные ассигнования»</w:t>
            </w:r>
          </w:p>
        </w:tc>
        <w:tc>
          <w:tcPr>
            <w:tcW w:w="1559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545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9190,3</w:t>
            </w:r>
          </w:p>
        </w:tc>
        <w:tc>
          <w:tcPr>
            <w:tcW w:w="1134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+4361,3</w:t>
            </w:r>
          </w:p>
        </w:tc>
        <w:tc>
          <w:tcPr>
            <w:tcW w:w="816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+90,7</w:t>
            </w:r>
          </w:p>
        </w:tc>
      </w:tr>
      <w:tr w:rsidR="009243CB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5455B9" w:rsidRPr="00314A8A" w:rsidRDefault="009243CB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1175914,1</w:t>
            </w:r>
          </w:p>
        </w:tc>
        <w:tc>
          <w:tcPr>
            <w:tcW w:w="1134" w:type="dxa"/>
          </w:tcPr>
          <w:p w:rsidR="005455B9" w:rsidRPr="00314A8A" w:rsidRDefault="009243CB" w:rsidP="009243C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</w:t>
            </w:r>
            <w:r w:rsidR="005455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638</w:t>
            </w:r>
            <w:r w:rsidR="005455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455B9" w:rsidRPr="00314A8A" w:rsidRDefault="005455B9" w:rsidP="009243C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9243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327275,5</w:t>
            </w:r>
          </w:p>
        </w:tc>
        <w:tc>
          <w:tcPr>
            <w:tcW w:w="816" w:type="dxa"/>
          </w:tcPr>
          <w:p w:rsidR="005455B9" w:rsidRPr="00314A8A" w:rsidRDefault="005455B9" w:rsidP="00377AA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77A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27,8</w:t>
            </w:r>
          </w:p>
        </w:tc>
      </w:tr>
    </w:tbl>
    <w:p w:rsidR="002164B0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proofErr w:type="gramStart"/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ояснительной записке к проекту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заработную плату с </w:t>
      </w:r>
      <w:r w:rsidR="00C00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407989,3 тыс. </w:t>
      </w:r>
      <w:r w:rsidRPr="00A6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индексации заработной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средств на заработную плату с </w:t>
      </w:r>
      <w:r w:rsidR="00D84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числениями предусмотрен с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55B9" w:rsidRDefault="002164B0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городского бюджета на закупку товаров, работ, услуг для обеспечения муниципальных нужд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закупок бюджетных учреждений) в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планируются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Pr="002164B0">
        <w:rPr>
          <w:rFonts w:ascii="Times New Roman" w:eastAsia="Times New Roman" w:hAnsi="Times New Roman"/>
          <w:sz w:val="28"/>
          <w:szCs w:val="28"/>
          <w:lang w:eastAsia="ru-RU"/>
        </w:rPr>
        <w:t>257896,1</w:t>
      </w:r>
      <w:r w:rsidR="005455B9" w:rsidRP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т.е. со снижением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22593,3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к уровню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Наибольшее снижение расходов на закупку товаров, работ, услуг запланировано по главным распорядителям «управление образования» на </w:t>
      </w:r>
      <w:r w:rsidR="00AE24AB">
        <w:rPr>
          <w:rFonts w:ascii="Times New Roman" w:eastAsia="Times New Roman" w:hAnsi="Times New Roman" w:cs="Times New Roman"/>
          <w:sz w:val="28"/>
          <w:szCs w:val="28"/>
          <w:lang w:eastAsia="ru-RU"/>
        </w:rPr>
        <w:t>7333,0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«администраци</w:t>
      </w:r>
      <w:r w:rsidR="00D848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 - на </w:t>
      </w:r>
      <w:r w:rsidR="00AE24AB">
        <w:rPr>
          <w:rFonts w:ascii="Times New Roman" w:eastAsia="Times New Roman" w:hAnsi="Times New Roman" w:cs="Times New Roman"/>
          <w:sz w:val="28"/>
          <w:szCs w:val="28"/>
          <w:lang w:eastAsia="ru-RU"/>
        </w:rPr>
        <w:t>12024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руб. </w:t>
      </w:r>
    </w:p>
    <w:p w:rsidR="005455B9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Пояснительной записке р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оплату коммунальных услуг муниципальных учреждений предусмотрены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региональной службы по тарифам Кировской области 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экономии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455B9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 материальных затрат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предусмотрены на уровне плановых назначений по состоянию на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3 с учетом 10% экономии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56" w:rsidRPr="00824F47" w:rsidRDefault="005455B9" w:rsidP="0068185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оциальное обеспечение и иные выплаты населению»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AE24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направить 13</w:t>
      </w:r>
      <w:r w:rsidR="00864D81">
        <w:rPr>
          <w:rFonts w:ascii="Times New Roman" w:eastAsia="Times New Roman" w:hAnsi="Times New Roman"/>
          <w:sz w:val="28"/>
          <w:szCs w:val="28"/>
          <w:lang w:eastAsia="ru-RU"/>
        </w:rPr>
        <w:t>524,0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864D81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снижением к предыдущему году на 0,8</w:t>
      </w:r>
      <w:r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681856">
        <w:rPr>
          <w:rFonts w:ascii="Times New Roman" w:eastAsia="Times New Roman" w:hAnsi="Times New Roman"/>
          <w:sz w:val="28"/>
          <w:szCs w:val="28"/>
          <w:lang w:eastAsia="ru-RU"/>
        </w:rPr>
        <w:t>В 2023 году из областного бюджеты были выделены средства в сумме 474,0 тыс. руб. на оборудование мест проживания семей, находящихся в трудной жизненной ситуации, автономными пожарными извещателями.</w:t>
      </w:r>
    </w:p>
    <w:p w:rsidR="005455B9" w:rsidRPr="00824F47" w:rsidRDefault="00681856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компенсации платы, взимаемой с родителей за присмотр и уход за детьми в дошкольных образовательных организациях, увеличен на </w:t>
      </w:r>
      <w:r w:rsidR="00984B7D" w:rsidRPr="00984B7D">
        <w:rPr>
          <w:rFonts w:ascii="Times New Roman" w:eastAsia="Times New Roman" w:hAnsi="Times New Roman"/>
          <w:sz w:val="28"/>
          <w:szCs w:val="28"/>
          <w:lang w:eastAsia="ru-RU"/>
        </w:rPr>
        <w:t>98,5</w:t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="005455B9" w:rsidRPr="0086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>ежемесячных выплат на детей-сирот и детей, оставшихся без попечения родителей, увеличен на 4</w:t>
      </w:r>
      <w:r w:rsidR="00984B7D" w:rsidRPr="00984B7D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>,0 тыс. руб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482F" w:rsidRPr="00824F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доплат к пенсиям муниципальных служащих </w:t>
      </w:r>
      <w:r w:rsidR="00824F47" w:rsidRPr="00824F47">
        <w:rPr>
          <w:rFonts w:ascii="Times New Roman" w:eastAsia="Times New Roman" w:hAnsi="Times New Roman"/>
          <w:sz w:val="28"/>
          <w:szCs w:val="28"/>
          <w:lang w:eastAsia="ru-RU"/>
        </w:rPr>
        <w:t>снижен на 62,9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proofErr w:type="gramEnd"/>
    </w:p>
    <w:p w:rsidR="005455B9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C4265"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8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в объекты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2023 года</w:t>
      </w:r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расходы на строительство моста через реку </w:t>
      </w:r>
      <w:proofErr w:type="spellStart"/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Ошторма</w:t>
      </w:r>
      <w:proofErr w:type="spellEnd"/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261576,6 тыс. руб.)</w:t>
      </w:r>
      <w:r w:rsidR="00FE7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расходы на капитальные вложения составя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C4265" w:rsidRPr="00FC4265">
        <w:rPr>
          <w:rFonts w:ascii="Times New Roman" w:eastAsia="Times New Roman" w:hAnsi="Times New Roman"/>
          <w:sz w:val="28"/>
          <w:szCs w:val="28"/>
          <w:lang w:eastAsia="ru-RU"/>
        </w:rPr>
        <w:t>44005,8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455B9" w:rsidRPr="00D85AE3" w:rsidRDefault="005455B9" w:rsidP="005455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субсидий 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бюджетным учреждениям и иным некоммерческим организациям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276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объеме </w:t>
      </w:r>
      <w:r w:rsidR="00774B96" w:rsidRPr="00774B96">
        <w:rPr>
          <w:rFonts w:ascii="Times New Roman" w:eastAsia="Times New Roman" w:hAnsi="Times New Roman"/>
          <w:sz w:val="28"/>
          <w:szCs w:val="28"/>
          <w:lang w:eastAsia="ru-RU"/>
        </w:rPr>
        <w:t>110733,1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со снижением к предыдущему году на</w:t>
      </w:r>
      <w:r w:rsidR="00B70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6CF" w:rsidRPr="008276CF">
        <w:rPr>
          <w:rFonts w:ascii="Times New Roman" w:eastAsia="Times New Roman" w:hAnsi="Times New Roman"/>
          <w:sz w:val="28"/>
          <w:szCs w:val="28"/>
          <w:lang w:eastAsia="ru-RU"/>
        </w:rPr>
        <w:t>7685,2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или на </w:t>
      </w:r>
      <w:r w:rsidR="008276CF">
        <w:rPr>
          <w:rFonts w:ascii="Times New Roman" w:eastAsia="Times New Roman" w:hAnsi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На финансовое обеспечение выполнения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в сфере культуры, дополнительного образования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учреждений) предусмотрены ассигнования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107555,7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F7B29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D85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</w:t>
      </w:r>
      <w:r w:rsidR="00760BF0">
        <w:rPr>
          <w:rFonts w:ascii="Times New Roman" w:eastAsia="Times New Roman" w:hAnsi="Times New Roman"/>
          <w:sz w:val="28"/>
          <w:szCs w:val="28"/>
          <w:lang w:eastAsia="ru-RU"/>
        </w:rPr>
        <w:t>бюджетным учреждениям предоставл</w:t>
      </w:r>
      <w:r w:rsidR="00213B05">
        <w:rPr>
          <w:rFonts w:ascii="Times New Roman" w:eastAsia="Times New Roman" w:hAnsi="Times New Roman"/>
          <w:sz w:val="28"/>
          <w:szCs w:val="28"/>
          <w:lang w:eastAsia="ru-RU"/>
        </w:rPr>
        <w:t>ялись</w:t>
      </w:r>
      <w:r w:rsidR="0076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760BF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иные цели </w:t>
      </w:r>
      <w:r w:rsidR="00760BF0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 6875,6 тыс. руб., в том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 на ремонт спорт</w:t>
      </w:r>
      <w:r w:rsidR="00213B05">
        <w:rPr>
          <w:rFonts w:ascii="Times New Roman" w:eastAsia="Times New Roman" w:hAnsi="Times New Roman"/>
          <w:sz w:val="28"/>
          <w:szCs w:val="28"/>
          <w:lang w:eastAsia="ru-RU"/>
        </w:rPr>
        <w:t>ивной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</w:t>
      </w:r>
      <w:r w:rsidR="00213B0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5252,6 тыс. руб.</w:t>
      </w:r>
      <w:r w:rsidR="00760BF0">
        <w:rPr>
          <w:rFonts w:ascii="Times New Roman" w:eastAsia="Times New Roman" w:hAnsi="Times New Roman"/>
          <w:sz w:val="28"/>
          <w:szCs w:val="28"/>
          <w:lang w:eastAsia="ru-RU"/>
        </w:rPr>
        <w:t>, создание виртуального концертного зала в сумме 300,0 тыс. руб.</w:t>
      </w:r>
    </w:p>
    <w:p w:rsidR="005455B9" w:rsidRDefault="005455B9" w:rsidP="00CB6D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202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иных бюджетных ассигнований на </w:t>
      </w:r>
      <w:r w:rsidR="00CB6D16" w:rsidRPr="00CB6D16">
        <w:rPr>
          <w:rFonts w:ascii="Times New Roman" w:eastAsia="Times New Roman" w:hAnsi="Times New Roman"/>
          <w:sz w:val="28"/>
          <w:szCs w:val="28"/>
          <w:lang w:eastAsia="ru-RU"/>
        </w:rPr>
        <w:t>4361,3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CB6D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бюджетные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CB6D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коммунальной техники по договору финансовой аренды (лизинга) </w:t>
      </w:r>
      <w:r w:rsidR="00924E6F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>5000,0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55B9" w:rsidRPr="00AA0DBE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расходов на обслуживание муниципального долга</w:t>
      </w:r>
      <w:r w:rsidRPr="0012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700,0</w:t>
      </w:r>
      <w:r w:rsidR="004F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55B9" w:rsidRPr="00AA0DBE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76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городского бюджета 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средства на </w:t>
      </w:r>
      <w:r w:rsidR="00972C76" w:rsidRPr="0093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реализацию </w:t>
      </w:r>
      <w:r w:rsidR="0097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72C76" w:rsidRPr="0097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7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72C76" w:rsidRPr="0097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достижение 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в 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</w:t>
      </w:r>
      <w:r w:rsidRPr="00D9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а». </w:t>
      </w:r>
    </w:p>
    <w:p w:rsidR="005455B9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предусматриваются бюджетные ассигнования на реализацию 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проектов по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</w:t>
      </w:r>
      <w:r w:rsidR="00F5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проектов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B61C7A">
        <w:rPr>
          <w:rFonts w:ascii="Times New Roman" w:eastAsia="Times New Roman" w:hAnsi="Times New Roman" w:cs="Times New Roman"/>
          <w:sz w:val="28"/>
          <w:szCs w:val="28"/>
          <w:lang w:eastAsia="ru-RU"/>
        </w:rPr>
        <w:t>14051,9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</w:t>
      </w:r>
      <w:r w:rsidR="00213B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3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8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3B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06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06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0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253,8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0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0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04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0318D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Российской Федерации»</w:t>
      </w:r>
      <w:r w:rsidR="00A03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2C1BDB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371"/>
        <w:gridCol w:w="1985"/>
      </w:tblGrid>
      <w:tr w:rsidR="00BE5EEA" w:rsidRPr="00AA0DBE" w:rsidTr="00BE5EEA">
        <w:tc>
          <w:tcPr>
            <w:tcW w:w="7371" w:type="dxa"/>
          </w:tcPr>
          <w:p w:rsidR="00BE5EEA" w:rsidRPr="00122D99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D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национальных проектов</w:t>
            </w:r>
          </w:p>
        </w:tc>
        <w:tc>
          <w:tcPr>
            <w:tcW w:w="1985" w:type="dxa"/>
          </w:tcPr>
          <w:p w:rsidR="00BE5EEA" w:rsidRPr="00BE5EEA" w:rsidRDefault="00BE5EEA" w:rsidP="00972C7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Pr="00BE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нацпроектам, в том числе: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14051,9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BE5EEA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Федерации»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12947,0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ормирование современной городской среды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- реализация программ формирования современной городской среды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современной городской среды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12464,7</w:t>
            </w:r>
          </w:p>
        </w:tc>
      </w:tr>
      <w:tr w:rsidR="00BE5EEA" w:rsidRPr="00AA0DBE" w:rsidTr="00BE5EEA">
        <w:tc>
          <w:tcPr>
            <w:tcW w:w="7371" w:type="dxa"/>
          </w:tcPr>
          <w:p w:rsidR="00BE5EEA" w:rsidRPr="00AA24C4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«Чистая вода» - </w:t>
            </w:r>
            <w:r w:rsidRPr="00AA2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строительство и реконструкция (модернизация) объектов питьевого водоснабжения</w:t>
            </w:r>
          </w:p>
        </w:tc>
        <w:tc>
          <w:tcPr>
            <w:tcW w:w="1985" w:type="dxa"/>
          </w:tcPr>
          <w:p w:rsidR="00BE5EEA" w:rsidRPr="00AA24C4" w:rsidRDefault="00BE5EEA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482,3</w:t>
            </w:r>
          </w:p>
        </w:tc>
      </w:tr>
    </w:tbl>
    <w:p w:rsidR="00DA365D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Pr="00AA0DBE" w:rsidRDefault="005455B9" w:rsidP="00DA3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DBE">
        <w:rPr>
          <w:rFonts w:ascii="Times New Roman" w:hAnsi="Times New Roman" w:cs="Times New Roman"/>
          <w:sz w:val="28"/>
          <w:szCs w:val="28"/>
        </w:rPr>
        <w:t>Доля расходов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Pr="00AA0DB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213B05">
        <w:rPr>
          <w:rFonts w:ascii="Times New Roman" w:hAnsi="Times New Roman" w:cs="Times New Roman"/>
          <w:sz w:val="28"/>
          <w:szCs w:val="28"/>
        </w:rPr>
        <w:t>региональных (</w:t>
      </w:r>
      <w:r w:rsidRPr="00AA0DBE">
        <w:rPr>
          <w:rFonts w:ascii="Times New Roman" w:hAnsi="Times New Roman" w:cs="Times New Roman"/>
          <w:sz w:val="28"/>
          <w:szCs w:val="28"/>
        </w:rPr>
        <w:t>национальн</w:t>
      </w:r>
      <w:r w:rsidR="007F5750">
        <w:rPr>
          <w:rFonts w:ascii="Times New Roman" w:hAnsi="Times New Roman" w:cs="Times New Roman"/>
          <w:sz w:val="28"/>
          <w:szCs w:val="28"/>
        </w:rPr>
        <w:t>ых</w:t>
      </w:r>
      <w:r w:rsidR="00213B05">
        <w:rPr>
          <w:rFonts w:ascii="Times New Roman" w:hAnsi="Times New Roman" w:cs="Times New Roman"/>
          <w:sz w:val="28"/>
          <w:szCs w:val="28"/>
        </w:rPr>
        <w:t>)</w:t>
      </w:r>
      <w:r w:rsidRPr="00AA0DB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F5750">
        <w:rPr>
          <w:rFonts w:ascii="Times New Roman" w:hAnsi="Times New Roman" w:cs="Times New Roman"/>
          <w:sz w:val="28"/>
          <w:szCs w:val="28"/>
        </w:rPr>
        <w:t>ов</w:t>
      </w:r>
      <w:r w:rsidRPr="00AA0DBE">
        <w:rPr>
          <w:rFonts w:ascii="Times New Roman" w:hAnsi="Times New Roman" w:cs="Times New Roman"/>
          <w:sz w:val="28"/>
          <w:szCs w:val="28"/>
        </w:rPr>
        <w:t xml:space="preserve"> в общем объеме расходов 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DBE">
        <w:rPr>
          <w:rFonts w:ascii="Times New Roman" w:hAnsi="Times New Roman" w:cs="Times New Roman"/>
          <w:sz w:val="28"/>
          <w:szCs w:val="28"/>
        </w:rPr>
        <w:t>202</w:t>
      </w:r>
      <w:r w:rsidR="00BE5EEA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 w:rsidR="00BE5EEA">
        <w:rPr>
          <w:rFonts w:ascii="Times New Roman" w:hAnsi="Times New Roman" w:cs="Times New Roman"/>
          <w:sz w:val="28"/>
          <w:szCs w:val="28"/>
        </w:rPr>
        <w:t>1,7</w:t>
      </w:r>
      <w:r w:rsidRPr="00AA0DBE">
        <w:rPr>
          <w:rFonts w:ascii="Times New Roman" w:hAnsi="Times New Roman" w:cs="Times New Roman"/>
          <w:sz w:val="28"/>
          <w:szCs w:val="28"/>
        </w:rPr>
        <w:t>%</w:t>
      </w:r>
      <w:r w:rsidR="00BE5EEA">
        <w:rPr>
          <w:rFonts w:ascii="Times New Roman" w:hAnsi="Times New Roman" w:cs="Times New Roman"/>
          <w:sz w:val="28"/>
          <w:szCs w:val="28"/>
        </w:rPr>
        <w:t>.</w:t>
      </w:r>
    </w:p>
    <w:p w:rsidR="005455B9" w:rsidRDefault="005455B9" w:rsidP="00924E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Pr="00AA0DBE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представленным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городского бюджета </w:t>
      </w:r>
      <w:r w:rsidR="007F5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37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периоде 2025-2026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EC4">
        <w:rPr>
          <w:rFonts w:ascii="Times New Roman" w:eastAsia="Times New Roman" w:hAnsi="Times New Roman" w:cs="Times New Roman"/>
          <w:sz w:val="28"/>
          <w:szCs w:val="28"/>
          <w:lang w:eastAsia="ru-RU"/>
        </w:rPr>
        <w:t>5709,0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:rsidR="005455B9" w:rsidRDefault="005455B9" w:rsidP="00DA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исполнение в 202</w:t>
      </w:r>
      <w:r w:rsidR="00037EC4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>-202</w:t>
      </w:r>
      <w:r w:rsidR="00037EC4">
        <w:rPr>
          <w:rFonts w:ascii="Times New Roman" w:hAnsi="Times New Roman" w:cs="Times New Roman"/>
          <w:sz w:val="28"/>
          <w:szCs w:val="28"/>
        </w:rPr>
        <w:t>6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годах публичных нормативных обязательств, показал, что указанные объемы </w:t>
      </w:r>
      <w:r>
        <w:rPr>
          <w:rFonts w:ascii="Times New Roman" w:hAnsi="Times New Roman" w:cs="Times New Roman"/>
          <w:sz w:val="28"/>
          <w:szCs w:val="28"/>
        </w:rPr>
        <w:t xml:space="preserve">спрогнозированы с ростом на </w:t>
      </w:r>
      <w:r w:rsidR="00037EC4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>% по сравнению с 202</w:t>
      </w:r>
      <w:r w:rsidR="00037E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5455B9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A0DBE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в 202</w:t>
      </w:r>
      <w:r w:rsidR="00037EC4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>-202</w:t>
      </w:r>
      <w:r w:rsidR="00037EC4">
        <w:rPr>
          <w:rFonts w:ascii="Times New Roman" w:hAnsi="Times New Roman" w:cs="Times New Roman"/>
          <w:sz w:val="28"/>
          <w:szCs w:val="28"/>
        </w:rPr>
        <w:t>6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годах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DB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 w:rsidR="00037EC4">
        <w:rPr>
          <w:rFonts w:ascii="Times New Roman" w:hAnsi="Times New Roman" w:cs="Times New Roman"/>
          <w:sz w:val="28"/>
          <w:szCs w:val="28"/>
        </w:rPr>
        <w:t>0,7%-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AA0DBE">
        <w:rPr>
          <w:rFonts w:ascii="Times New Roman" w:hAnsi="Times New Roman" w:cs="Times New Roman"/>
          <w:sz w:val="28"/>
          <w:szCs w:val="28"/>
        </w:rPr>
        <w:t>%.</w:t>
      </w:r>
    </w:p>
    <w:p w:rsidR="005455B9" w:rsidRDefault="005455B9" w:rsidP="002A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</w:t>
      </w:r>
      <w:proofErr w:type="gramStart"/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AA0DBE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AA0DBE">
        <w:rPr>
          <w:rFonts w:ascii="Times New Roman" w:hAnsi="Times New Roman" w:cs="Times New Roman"/>
          <w:sz w:val="28"/>
          <w:szCs w:val="28"/>
        </w:rPr>
        <w:t>ючен</w:t>
      </w:r>
      <w:r w:rsidR="002A6AC5">
        <w:rPr>
          <w:rFonts w:ascii="Times New Roman" w:hAnsi="Times New Roman" w:cs="Times New Roman"/>
          <w:sz w:val="28"/>
          <w:szCs w:val="28"/>
        </w:rPr>
        <w:t xml:space="preserve">а </w:t>
      </w:r>
      <w:r w:rsidRPr="00AA0DBE">
        <w:rPr>
          <w:rFonts w:ascii="Times New Roman" w:hAnsi="Times New Roman" w:cs="Times New Roman"/>
          <w:sz w:val="28"/>
          <w:szCs w:val="28"/>
        </w:rPr>
        <w:t>ежемесячная выплата денежных средств на содержание детей-сирот и детей, оставшихся без попечения родителей, находящихся под опекой (попечитель</w:t>
      </w:r>
      <w:r w:rsidR="002A6AC5">
        <w:rPr>
          <w:rFonts w:ascii="Times New Roman" w:hAnsi="Times New Roman" w:cs="Times New Roman"/>
          <w:sz w:val="28"/>
          <w:szCs w:val="28"/>
        </w:rPr>
        <w:t>ством).</w:t>
      </w:r>
    </w:p>
    <w:p w:rsidR="005455B9" w:rsidRPr="00AA0DBE" w:rsidRDefault="005455B9" w:rsidP="005455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Default="005455B9" w:rsidP="00BB6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89E">
        <w:rPr>
          <w:rFonts w:ascii="Times New Roman" w:hAnsi="Times New Roman" w:cs="Times New Roman"/>
          <w:b/>
          <w:sz w:val="28"/>
          <w:szCs w:val="28"/>
        </w:rPr>
        <w:t>5.4.</w:t>
      </w:r>
      <w:r w:rsidRPr="0095489E">
        <w:rPr>
          <w:rFonts w:ascii="Times New Roman" w:hAnsi="Times New Roman" w:cs="Times New Roman"/>
          <w:sz w:val="28"/>
          <w:szCs w:val="28"/>
        </w:rPr>
        <w:t xml:space="preserve"> </w:t>
      </w:r>
      <w:r w:rsidR="00B70397">
        <w:rPr>
          <w:rFonts w:ascii="Times New Roman" w:hAnsi="Times New Roman" w:cs="Times New Roman"/>
          <w:sz w:val="28"/>
          <w:szCs w:val="28"/>
        </w:rPr>
        <w:t>Расходы г</w:t>
      </w:r>
      <w:r w:rsidRPr="0095489E">
        <w:rPr>
          <w:rFonts w:ascii="Times New Roman" w:eastAsia="Calibri" w:hAnsi="Times New Roman" w:cs="Times New Roman"/>
          <w:sz w:val="28"/>
          <w:szCs w:val="28"/>
        </w:rPr>
        <w:t xml:space="preserve">ородского бюджета на </w:t>
      </w:r>
      <w:r w:rsidR="00B70397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реконструкцию (приобретение) объектов на </w:t>
      </w:r>
      <w:r w:rsidRPr="0095489E">
        <w:rPr>
          <w:rFonts w:ascii="Times New Roman" w:eastAsia="Calibri" w:hAnsi="Times New Roman" w:cs="Times New Roman"/>
          <w:sz w:val="28"/>
          <w:szCs w:val="28"/>
        </w:rPr>
        <w:t>202</w:t>
      </w:r>
      <w:r w:rsidR="00BB6D5D">
        <w:rPr>
          <w:rFonts w:ascii="Times New Roman" w:eastAsia="Calibri" w:hAnsi="Times New Roman" w:cs="Times New Roman"/>
          <w:sz w:val="28"/>
          <w:szCs w:val="28"/>
        </w:rPr>
        <w:t>4</w:t>
      </w:r>
      <w:r w:rsidRPr="0095489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70397">
        <w:rPr>
          <w:rFonts w:ascii="Times New Roman" w:eastAsia="Calibri" w:hAnsi="Times New Roman" w:cs="Times New Roman"/>
          <w:sz w:val="28"/>
          <w:szCs w:val="28"/>
        </w:rPr>
        <w:t>составят</w:t>
      </w:r>
      <w:r w:rsidR="00BB6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5D" w:rsidRPr="00BB6D5D">
        <w:rPr>
          <w:rFonts w:ascii="Times New Roman" w:eastAsia="Times New Roman" w:hAnsi="Times New Roman"/>
          <w:sz w:val="28"/>
          <w:szCs w:val="28"/>
          <w:lang w:eastAsia="ru-RU"/>
        </w:rPr>
        <w:t>44005,8</w:t>
      </w:r>
      <w:r w:rsidR="00BB6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89E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BB6D5D">
        <w:rPr>
          <w:rFonts w:ascii="Times New Roman" w:eastAsia="Calibri" w:hAnsi="Times New Roman" w:cs="Times New Roman"/>
          <w:sz w:val="28"/>
          <w:szCs w:val="28"/>
        </w:rPr>
        <w:t xml:space="preserve"> и будут направлены на </w:t>
      </w:r>
      <w:r w:rsidRPr="00AA0DBE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BB6D5D">
        <w:rPr>
          <w:rFonts w:ascii="Times New Roman" w:eastAsia="Calibri" w:hAnsi="Times New Roman" w:cs="Times New Roman"/>
          <w:sz w:val="28"/>
          <w:szCs w:val="28"/>
        </w:rPr>
        <w:t>ю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Pr="00AA0DBE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й:</w:t>
      </w:r>
    </w:p>
    <w:p w:rsidR="005455B9" w:rsidRDefault="005455B9" w:rsidP="005455B9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подготовку объектов коммунальной инфраструктуры к работе в осенне-зимний период (установка блочной газовой котельной) – </w:t>
      </w:r>
      <w:r w:rsidR="00BB6D5D">
        <w:rPr>
          <w:rFonts w:ascii="Times New Roman" w:eastAsia="Times New Roman" w:hAnsi="Times New Roman" w:cs="Times New Roman"/>
          <w:sz w:val="28"/>
          <w:szCs w:val="28"/>
          <w:lang w:eastAsia="ru-RU"/>
        </w:rPr>
        <w:t>18183,5 тыс</w:t>
      </w:r>
      <w:r>
        <w:rPr>
          <w:rFonts w:ascii="Times New Roman" w:eastAsia="Calibri" w:hAnsi="Times New Roman" w:cs="Times New Roman"/>
          <w:sz w:val="28"/>
          <w:szCs w:val="28"/>
        </w:rPr>
        <w:t>. руб.;</w:t>
      </w:r>
    </w:p>
    <w:p w:rsidR="005455B9" w:rsidRDefault="005455B9" w:rsidP="005455B9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строительство и реконструкцию (модернизацию) объектов питьевого водоснабжения в рамках федерального проекта «Чистая вода» 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BB6D5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B6D5D">
        <w:rPr>
          <w:rFonts w:ascii="Times New Roman" w:eastAsia="Calibri" w:hAnsi="Times New Roman" w:cs="Times New Roman"/>
          <w:sz w:val="28"/>
          <w:szCs w:val="28"/>
        </w:rPr>
        <w:t>2,3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213B05">
        <w:rPr>
          <w:rFonts w:ascii="Times New Roman" w:eastAsia="Calibri" w:hAnsi="Times New Roman" w:cs="Times New Roman"/>
          <w:sz w:val="28"/>
          <w:szCs w:val="28"/>
        </w:rPr>
        <w:t xml:space="preserve"> (средства городского бюджета)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55B9" w:rsidRDefault="005455B9" w:rsidP="005455B9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4E6F">
        <w:rPr>
          <w:rFonts w:ascii="Times New Roman" w:eastAsia="Calibri" w:hAnsi="Times New Roman" w:cs="Times New Roman"/>
          <w:sz w:val="28"/>
          <w:szCs w:val="28"/>
        </w:rPr>
        <w:t>по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="00924E6F">
        <w:rPr>
          <w:rFonts w:ascii="Times New Roman" w:eastAsia="Calibri" w:hAnsi="Times New Roman" w:cs="Times New Roman"/>
          <w:sz w:val="28"/>
          <w:szCs w:val="28"/>
        </w:rPr>
        <w:t>ю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прав детей-сирот и детей, оставшихся без попечения родителей, на жилое помещение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70A74">
        <w:rPr>
          <w:rFonts w:ascii="Times New Roman" w:eastAsia="Calibri" w:hAnsi="Times New Roman" w:cs="Times New Roman"/>
          <w:sz w:val="28"/>
          <w:szCs w:val="28"/>
        </w:rPr>
        <w:t>аконом Кировской области «</w:t>
      </w:r>
      <w:r w:rsidRPr="00AA0DBE">
        <w:rPr>
          <w:rFonts w:ascii="Times New Roman" w:eastAsia="Calibri" w:hAnsi="Times New Roman" w:cs="Times New Roman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попавши</w:t>
      </w:r>
      <w:r>
        <w:rPr>
          <w:rFonts w:ascii="Times New Roman" w:eastAsia="Calibri" w:hAnsi="Times New Roman" w:cs="Times New Roman"/>
          <w:sz w:val="28"/>
          <w:szCs w:val="28"/>
        </w:rPr>
        <w:t>х в сложную жизненную ситуацию</w:t>
      </w:r>
      <w:r w:rsidR="00B70A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B6D5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6D5D">
        <w:rPr>
          <w:rFonts w:ascii="Times New Roman" w:eastAsia="Calibri" w:hAnsi="Times New Roman" w:cs="Times New Roman"/>
          <w:sz w:val="28"/>
          <w:szCs w:val="28"/>
        </w:rPr>
        <w:t>840</w:t>
      </w:r>
      <w:r>
        <w:rPr>
          <w:rFonts w:ascii="Times New Roman" w:eastAsia="Calibri" w:hAnsi="Times New Roman" w:cs="Times New Roman"/>
          <w:sz w:val="28"/>
          <w:szCs w:val="28"/>
        </w:rPr>
        <w:t>,0 тыс. руб.</w:t>
      </w:r>
      <w:r w:rsidR="00BB6D5D">
        <w:rPr>
          <w:rFonts w:ascii="Times New Roman" w:eastAsia="Calibri" w:hAnsi="Times New Roman" w:cs="Times New Roman"/>
          <w:sz w:val="28"/>
          <w:szCs w:val="28"/>
        </w:rPr>
        <w:t xml:space="preserve"> (приобретение 20 квартир);</w:t>
      </w:r>
      <w:proofErr w:type="gramEnd"/>
    </w:p>
    <w:p w:rsidR="00BB6D5D" w:rsidRDefault="00BB6D5D" w:rsidP="00BB6D5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проектно</w:t>
      </w:r>
      <w:r w:rsidR="00213B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сметной документации на строительство моста через реку </w:t>
      </w:r>
      <w:proofErr w:type="spellStart"/>
      <w:r w:rsidR="000B6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микрорайоне Осинки 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2000,0 тыс. руб., на строительства дорог в микрорайоне «Северный» 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1000,0 тыс. руб., на установку светофорного узла на перекрестке улиц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Гагарина-Ленина-Тойменка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500,0 тыс. руб. </w:t>
      </w:r>
    </w:p>
    <w:p w:rsidR="007F5750" w:rsidRPr="00AA0DBE" w:rsidRDefault="00B70A74" w:rsidP="007F5750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 xml:space="preserve"> на капитальные вложения в объекты недвижимого имущества муниципальной собственности на </w:t>
      </w:r>
      <w:r w:rsidR="007F5750">
        <w:rPr>
          <w:rFonts w:ascii="Times New Roman" w:eastAsia="Calibri" w:hAnsi="Times New Roman" w:cs="Times New Roman"/>
          <w:sz w:val="28"/>
          <w:szCs w:val="28"/>
        </w:rPr>
        <w:t xml:space="preserve">плановый период 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>предусмотрен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F5750">
        <w:rPr>
          <w:rFonts w:ascii="Times New Roman" w:eastAsia="Calibri" w:hAnsi="Times New Roman" w:cs="Times New Roman"/>
          <w:sz w:val="28"/>
          <w:szCs w:val="28"/>
        </w:rPr>
        <w:t xml:space="preserve"> только на </w:t>
      </w:r>
      <w:r w:rsidR="007F5750" w:rsidRPr="00AA0DBE">
        <w:rPr>
          <w:rFonts w:ascii="Times New Roman" w:eastAsia="Calibri" w:hAnsi="Times New Roman" w:cs="Times New Roman"/>
          <w:sz w:val="28"/>
          <w:szCs w:val="28"/>
        </w:rPr>
        <w:t>обеспечение прав детей-сирот и детей, оставшихся без попечения родителей, на жилое помещение</w:t>
      </w:r>
      <w:r w:rsidR="007F5750">
        <w:rPr>
          <w:rFonts w:ascii="Times New Roman" w:eastAsia="Calibri" w:hAnsi="Times New Roman" w:cs="Times New Roman"/>
          <w:sz w:val="28"/>
          <w:szCs w:val="28"/>
        </w:rPr>
        <w:t>, в том числе на 202</w:t>
      </w:r>
      <w:r w:rsidR="002B168F">
        <w:rPr>
          <w:rFonts w:ascii="Times New Roman" w:eastAsia="Calibri" w:hAnsi="Times New Roman" w:cs="Times New Roman"/>
          <w:sz w:val="28"/>
          <w:szCs w:val="28"/>
        </w:rPr>
        <w:t>5</w:t>
      </w:r>
      <w:r w:rsidR="007F575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2B168F">
        <w:rPr>
          <w:rFonts w:ascii="Times New Roman" w:eastAsia="Calibri" w:hAnsi="Times New Roman" w:cs="Times New Roman"/>
          <w:sz w:val="28"/>
          <w:szCs w:val="28"/>
        </w:rPr>
        <w:t>1</w:t>
      </w:r>
      <w:r w:rsidR="007F5750">
        <w:rPr>
          <w:rFonts w:ascii="Times New Roman" w:eastAsia="Calibri" w:hAnsi="Times New Roman" w:cs="Times New Roman"/>
          <w:sz w:val="28"/>
          <w:szCs w:val="28"/>
        </w:rPr>
        <w:t>0</w:t>
      </w:r>
      <w:r w:rsidR="002B168F">
        <w:rPr>
          <w:rFonts w:ascii="Times New Roman" w:eastAsia="Calibri" w:hAnsi="Times New Roman" w:cs="Times New Roman"/>
          <w:sz w:val="28"/>
          <w:szCs w:val="28"/>
        </w:rPr>
        <w:t>920,0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 xml:space="preserve"> тыс. руб., на 202</w:t>
      </w:r>
      <w:r w:rsidR="002B168F">
        <w:rPr>
          <w:rFonts w:ascii="Times New Roman" w:eastAsia="Calibri" w:hAnsi="Times New Roman" w:cs="Times New Roman"/>
          <w:sz w:val="28"/>
          <w:szCs w:val="28"/>
        </w:rPr>
        <w:t>6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B168F">
        <w:rPr>
          <w:rFonts w:ascii="Times New Roman" w:eastAsia="Calibri" w:hAnsi="Times New Roman" w:cs="Times New Roman"/>
          <w:sz w:val="28"/>
          <w:szCs w:val="28"/>
        </w:rPr>
        <w:t>8736,0</w:t>
      </w:r>
      <w:r w:rsidR="007F5750" w:rsidRPr="00146D42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5455B9" w:rsidRPr="00AA0DBE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Default="005455B9" w:rsidP="00DA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Муниципальный дорожный фонд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 xml:space="preserve">Доходы городского бюджета, формирующие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0DBE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D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780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0B67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6780">
        <w:rPr>
          <w:rFonts w:ascii="Times New Roman" w:hAnsi="Times New Roman" w:cs="Times New Roman"/>
          <w:sz w:val="28"/>
          <w:szCs w:val="28"/>
        </w:rPr>
        <w:t>145,3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Pr="00AA0DBE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В плановом периоде объем ассигнований дорожного фонда прогнозируется в следующих размерах: в 202</w:t>
      </w:r>
      <w:r w:rsidR="000B6780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780">
        <w:rPr>
          <w:rFonts w:ascii="Times New Roman" w:hAnsi="Times New Roman" w:cs="Times New Roman"/>
          <w:sz w:val="28"/>
          <w:szCs w:val="28"/>
        </w:rPr>
        <w:t>22637,9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0B6780">
        <w:rPr>
          <w:rFonts w:ascii="Times New Roman" w:hAnsi="Times New Roman" w:cs="Times New Roman"/>
          <w:sz w:val="28"/>
          <w:szCs w:val="28"/>
        </w:rPr>
        <w:t>6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6780">
        <w:rPr>
          <w:rFonts w:ascii="Times New Roman" w:hAnsi="Times New Roman" w:cs="Times New Roman"/>
          <w:sz w:val="28"/>
          <w:szCs w:val="28"/>
        </w:rPr>
        <w:t>7466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Прогнозируемые объемы доходов, формирующи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0DBE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0DBE">
        <w:rPr>
          <w:rFonts w:ascii="Times New Roman" w:hAnsi="Times New Roman" w:cs="Times New Roman"/>
          <w:sz w:val="28"/>
          <w:szCs w:val="28"/>
        </w:rPr>
        <w:t>дорожного</w:t>
      </w:r>
      <w:r w:rsidRPr="00964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AA0DBE">
        <w:rPr>
          <w:rFonts w:ascii="Times New Roman" w:hAnsi="Times New Roman" w:cs="Times New Roman"/>
          <w:sz w:val="28"/>
          <w:szCs w:val="28"/>
        </w:rPr>
        <w:t>на 202</w:t>
      </w:r>
      <w:r w:rsidR="000B6780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>-202</w:t>
      </w:r>
      <w:r w:rsidR="000B6780">
        <w:rPr>
          <w:rFonts w:ascii="Times New Roman" w:hAnsi="Times New Roman" w:cs="Times New Roman"/>
          <w:sz w:val="28"/>
          <w:szCs w:val="28"/>
        </w:rPr>
        <w:t>6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годы, в разрезе источников представлены в таблице (тыс. руб.):</w:t>
      </w:r>
    </w:p>
    <w:p w:rsidR="00DA365D" w:rsidRPr="00AA0DBE" w:rsidRDefault="00DA365D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Pr="00D10077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9"/>
        <w:gridCol w:w="1134"/>
        <w:gridCol w:w="1134"/>
        <w:gridCol w:w="1134"/>
      </w:tblGrid>
      <w:tr w:rsidR="000B6780" w:rsidRPr="00AA0DBE" w:rsidTr="008B438F">
        <w:trPr>
          <w:trHeight w:val="350"/>
        </w:trPr>
        <w:tc>
          <w:tcPr>
            <w:tcW w:w="5969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Прогнозируемые объемы доходов городского бюджета, формирующих ассигнования муниципального дорожного фонда </w:t>
            </w:r>
          </w:p>
        </w:tc>
        <w:tc>
          <w:tcPr>
            <w:tcW w:w="1134" w:type="dxa"/>
            <w:shd w:val="clear" w:color="auto" w:fill="auto"/>
            <w:noWrap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0B6780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0B6780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0B6780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0B6780" w:rsidRPr="00AA0DBE" w:rsidTr="008B438F">
        <w:trPr>
          <w:trHeight w:val="263"/>
        </w:trPr>
        <w:tc>
          <w:tcPr>
            <w:tcW w:w="5969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инжекторных</w:t>
            </w:r>
            <w:proofErr w:type="spellEnd"/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) двигателей, производимые на территории РФ и подлежащих зачислению в городской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729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6780" w:rsidRPr="00C16D5F" w:rsidRDefault="000B6780" w:rsidP="0025294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832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B6780" w:rsidRPr="00AA0DBE" w:rsidTr="008B438F">
        <w:trPr>
          <w:trHeight w:val="687"/>
        </w:trPr>
        <w:tc>
          <w:tcPr>
            <w:tcW w:w="5969" w:type="dxa"/>
            <w:shd w:val="clear" w:color="auto" w:fill="auto"/>
            <w:noWrap/>
            <w:vAlign w:val="center"/>
          </w:tcPr>
          <w:p w:rsidR="000B6780" w:rsidRPr="00C16D5F" w:rsidRDefault="000B6780" w:rsidP="00252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налог с организаций и физических лиц, (на 202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>%, на 202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100%, на 2026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>%)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C16D5F" w:rsidRDefault="0025294F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6072,0</w:t>
            </w:r>
          </w:p>
        </w:tc>
        <w:tc>
          <w:tcPr>
            <w:tcW w:w="1134" w:type="dxa"/>
            <w:vAlign w:val="center"/>
          </w:tcPr>
          <w:p w:rsidR="000B6780" w:rsidRPr="00C16D5F" w:rsidRDefault="0025294F" w:rsidP="0025294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0B678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4" w:type="dxa"/>
            <w:vAlign w:val="center"/>
          </w:tcPr>
          <w:p w:rsidR="000B6780" w:rsidRPr="00C16D5F" w:rsidRDefault="0025294F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3431,0</w:t>
            </w:r>
          </w:p>
        </w:tc>
      </w:tr>
      <w:tr w:rsidR="000B6780" w:rsidRPr="00AA0DBE" w:rsidTr="00E86A81">
        <w:trPr>
          <w:trHeight w:val="842"/>
        </w:trPr>
        <w:tc>
          <w:tcPr>
            <w:tcW w:w="5969" w:type="dxa"/>
            <w:shd w:val="clear" w:color="auto" w:fill="auto"/>
            <w:noWrap/>
          </w:tcPr>
          <w:p w:rsidR="000B6780" w:rsidRPr="00C16D5F" w:rsidRDefault="000B6780" w:rsidP="008B4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Часть доходов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, получаемых в виде арендной платы за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участк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а также средства от продажи права на заключение договоров аренды на земельные участки (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 год – 42,9%, 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2025 год – 55,9%, 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2026 год - 0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Default="00F37943" w:rsidP="00E86A8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2882,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B6780" w:rsidRDefault="00F37943" w:rsidP="00E86A8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2566,9</w:t>
            </w:r>
          </w:p>
        </w:tc>
        <w:tc>
          <w:tcPr>
            <w:tcW w:w="1134" w:type="dxa"/>
            <w:vAlign w:val="center"/>
          </w:tcPr>
          <w:p w:rsidR="000B6780" w:rsidRDefault="00E86A81" w:rsidP="00E86A8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0B6780" w:rsidRPr="00AA0DBE" w:rsidTr="008B438F">
        <w:trPr>
          <w:trHeight w:val="309"/>
        </w:trPr>
        <w:tc>
          <w:tcPr>
            <w:tcW w:w="5969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D5F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  <w:r>
              <w:rPr>
                <w:rFonts w:ascii="Times New Roman" w:hAnsi="Times New Roman" w:cs="Times New Roman"/>
              </w:rPr>
              <w:t>, в т. ч.</w:t>
            </w:r>
            <w:r w:rsidRPr="00C16D5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C16D5F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70448,0</w:t>
            </w:r>
          </w:p>
        </w:tc>
        <w:tc>
          <w:tcPr>
            <w:tcW w:w="1134" w:type="dxa"/>
            <w:vAlign w:val="center"/>
          </w:tcPr>
          <w:p w:rsidR="000B6780" w:rsidRPr="00C16D5F" w:rsidRDefault="000B6780" w:rsidP="00F3794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F37943">
              <w:rPr>
                <w:rFonts w:ascii="Times New Roman" w:eastAsia="Times New Roman" w:hAnsi="Times New Roman" w:cs="Times New Roman"/>
                <w:bCs/>
                <w:lang w:eastAsia="ru-RU"/>
              </w:rPr>
              <w:t>324,0</w:t>
            </w:r>
          </w:p>
        </w:tc>
        <w:tc>
          <w:tcPr>
            <w:tcW w:w="1134" w:type="dxa"/>
            <w:vAlign w:val="center"/>
          </w:tcPr>
          <w:p w:rsidR="000B6780" w:rsidRPr="00C16D5F" w:rsidRDefault="000B6780" w:rsidP="00F3794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  <w:r w:rsidR="00F379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B6780" w:rsidRPr="00AA0DBE" w:rsidTr="008B438F">
        <w:trPr>
          <w:trHeight w:val="630"/>
        </w:trPr>
        <w:tc>
          <w:tcPr>
            <w:tcW w:w="5969" w:type="dxa"/>
            <w:shd w:val="clear" w:color="auto" w:fill="auto"/>
            <w:vAlign w:val="center"/>
          </w:tcPr>
          <w:p w:rsidR="000B6780" w:rsidRPr="0082113D" w:rsidRDefault="000B6780" w:rsidP="007F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2113D">
              <w:rPr>
                <w:rFonts w:ascii="Times New Roman" w:hAnsi="Times New Roman" w:cs="Times New Roman"/>
                <w:i/>
              </w:rPr>
              <w:t>субсиди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82113D">
              <w:rPr>
                <w:rFonts w:ascii="Times New Roman" w:hAnsi="Times New Roman" w:cs="Times New Roman"/>
                <w:i/>
              </w:rPr>
              <w:t xml:space="preserve">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99433A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39051,0</w:t>
            </w:r>
          </w:p>
        </w:tc>
        <w:tc>
          <w:tcPr>
            <w:tcW w:w="1134" w:type="dxa"/>
            <w:vAlign w:val="center"/>
          </w:tcPr>
          <w:p w:rsidR="000B6780" w:rsidRPr="0099433A" w:rsidRDefault="000B6780" w:rsidP="00F3794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33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F37943">
              <w:rPr>
                <w:rFonts w:ascii="Times New Roman" w:eastAsia="Times New Roman" w:hAnsi="Times New Roman" w:cs="Times New Roman"/>
                <w:bCs/>
                <w:lang w:eastAsia="ru-RU"/>
              </w:rPr>
              <w:t>324,0</w:t>
            </w:r>
          </w:p>
        </w:tc>
        <w:tc>
          <w:tcPr>
            <w:tcW w:w="1134" w:type="dxa"/>
            <w:vAlign w:val="center"/>
          </w:tcPr>
          <w:p w:rsidR="000B6780" w:rsidRPr="0099433A" w:rsidRDefault="000B6780" w:rsidP="00F3794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33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379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Pr="0099433A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37943" w:rsidRPr="00AA0DBE" w:rsidTr="008B438F">
        <w:trPr>
          <w:trHeight w:val="835"/>
        </w:trPr>
        <w:tc>
          <w:tcPr>
            <w:tcW w:w="5969" w:type="dxa"/>
            <w:shd w:val="clear" w:color="auto" w:fill="auto"/>
            <w:vAlign w:val="center"/>
          </w:tcPr>
          <w:p w:rsidR="00F37943" w:rsidRPr="0082113D" w:rsidRDefault="00F37943" w:rsidP="00F37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2113D">
              <w:rPr>
                <w:rFonts w:ascii="Times New Roman" w:hAnsi="Times New Roman" w:cs="Times New Roman"/>
                <w:i/>
              </w:rPr>
              <w:t>субсиди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82113D">
              <w:rPr>
                <w:rFonts w:ascii="Times New Roman" w:hAnsi="Times New Roman" w:cs="Times New Roman"/>
                <w:i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 xml:space="preserve">капитальный ремонт, ремонт и восстановление изношенных верхних слоев асфальтобетонных покрытий </w:t>
            </w:r>
            <w:r w:rsidRPr="0082113D">
              <w:rPr>
                <w:rFonts w:ascii="Times New Roman" w:hAnsi="Times New Roman" w:cs="Times New Roman"/>
                <w:i/>
              </w:rPr>
              <w:t xml:space="preserve">автомобильных дорог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31397,0</w:t>
            </w:r>
          </w:p>
        </w:tc>
        <w:tc>
          <w:tcPr>
            <w:tcW w:w="1134" w:type="dxa"/>
            <w:vAlign w:val="center"/>
          </w:tcPr>
          <w:p w:rsidR="00F37943" w:rsidRPr="0099433A" w:rsidRDefault="00DA365D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37943" w:rsidRPr="0099433A" w:rsidRDefault="00DA365D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F37943" w:rsidRPr="00AA0DBE" w:rsidTr="008B438F">
        <w:trPr>
          <w:trHeight w:val="487"/>
        </w:trPr>
        <w:tc>
          <w:tcPr>
            <w:tcW w:w="5969" w:type="dxa"/>
            <w:shd w:val="clear" w:color="auto" w:fill="auto"/>
            <w:vAlign w:val="center"/>
          </w:tcPr>
          <w:p w:rsidR="00F37943" w:rsidRPr="00C16D5F" w:rsidRDefault="00F37943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7DF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817DF">
              <w:rPr>
                <w:rFonts w:ascii="Times New Roman" w:eastAsia="Times New Roman" w:hAnsi="Times New Roman" w:cs="Times New Roman"/>
                <w:bCs/>
                <w:lang w:eastAsia="ru-RU"/>
              </w:rPr>
              <w:t>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Pr="0099433A" w:rsidRDefault="00FA2D9A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5013,9</w:t>
            </w:r>
          </w:p>
        </w:tc>
        <w:tc>
          <w:tcPr>
            <w:tcW w:w="1134" w:type="dxa"/>
            <w:vAlign w:val="center"/>
          </w:tcPr>
          <w:p w:rsidR="00F37943" w:rsidRPr="00C16D5F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37943" w:rsidRPr="00C16D5F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</w:tr>
      <w:tr w:rsidR="00F37943" w:rsidRPr="00AA0DBE" w:rsidTr="008B438F">
        <w:trPr>
          <w:trHeight w:val="70"/>
        </w:trPr>
        <w:tc>
          <w:tcPr>
            <w:tcW w:w="5969" w:type="dxa"/>
            <w:shd w:val="clear" w:color="auto" w:fill="auto"/>
            <w:vAlign w:val="center"/>
          </w:tcPr>
          <w:p w:rsidR="00F37943" w:rsidRPr="00C16D5F" w:rsidRDefault="00F37943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Pr="00C16D5F" w:rsidRDefault="0056293F" w:rsidP="005455B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87145,3</w:t>
            </w:r>
          </w:p>
        </w:tc>
        <w:tc>
          <w:tcPr>
            <w:tcW w:w="1134" w:type="dxa"/>
          </w:tcPr>
          <w:p w:rsidR="00F37943" w:rsidRPr="00C16D5F" w:rsidRDefault="00FA2D9A" w:rsidP="005455B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22637,9</w:t>
            </w:r>
          </w:p>
        </w:tc>
        <w:tc>
          <w:tcPr>
            <w:tcW w:w="1134" w:type="dxa"/>
          </w:tcPr>
          <w:p w:rsidR="00F37943" w:rsidRPr="00C16D5F" w:rsidRDefault="00F37943" w:rsidP="00FA2D9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FA2D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7466,0</w:t>
            </w:r>
          </w:p>
        </w:tc>
      </w:tr>
    </w:tbl>
    <w:p w:rsidR="005455B9" w:rsidRPr="00D10077" w:rsidRDefault="005455B9" w:rsidP="00545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55B9" w:rsidRDefault="005455B9" w:rsidP="00545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232">
        <w:rPr>
          <w:rFonts w:ascii="Times New Roman" w:eastAsia="Times New Roman" w:hAnsi="Times New Roman" w:cs="Times New Roman"/>
          <w:sz w:val="28"/>
          <w:szCs w:val="28"/>
        </w:rPr>
        <w:t xml:space="preserve">Основным источником формирования </w:t>
      </w:r>
      <w:r w:rsidR="00115B2A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</w:t>
      </w:r>
      <w:r w:rsidRPr="00362232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E1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>, как и в предыдущие годы,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межбюджетные трансферты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 которых составит 70448,0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составляет 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>80,8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ассигнований муниципального дорожного фонда. </w:t>
      </w:r>
    </w:p>
    <w:p w:rsidR="001E76C1" w:rsidRPr="00750AA9" w:rsidRDefault="005455B9" w:rsidP="001E76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на осуществление дорожной деятельности за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27733,0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в 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отремонтирова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большую 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протяженност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автомобильных дорог в городе.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55B9" w:rsidRPr="006C3CB8" w:rsidRDefault="005455B9" w:rsidP="005455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за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источником формирования </w:t>
      </w:r>
      <w:r w:rsidR="001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фонда, со 100% в 202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4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6C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источников формирования дорожного фонда исключены доходы от </w:t>
      </w:r>
      <w:r w:rsidRPr="005B7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202</w:t>
      </w:r>
      <w:r w:rsidR="00AE7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учтены в размере</w:t>
      </w:r>
      <w:r w:rsidRPr="005B7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98,5</w:t>
      </w:r>
      <w:r w:rsidRPr="005B7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E2355F" w:rsidRDefault="005455B9" w:rsidP="00E2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55F" w:rsidRPr="00AA0DB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муниципального дорожного фонда на 202</w:t>
      </w:r>
      <w:r w:rsidR="002904E1">
        <w:rPr>
          <w:rFonts w:ascii="Times New Roman" w:hAnsi="Times New Roman" w:cs="Times New Roman"/>
          <w:sz w:val="28"/>
          <w:szCs w:val="28"/>
        </w:rPr>
        <w:t>4</w:t>
      </w:r>
      <w:r w:rsidR="00E2355F" w:rsidRPr="00AA0DBE">
        <w:rPr>
          <w:rFonts w:ascii="Times New Roman" w:hAnsi="Times New Roman" w:cs="Times New Roman"/>
          <w:sz w:val="28"/>
          <w:szCs w:val="28"/>
        </w:rPr>
        <w:t>-202</w:t>
      </w:r>
      <w:r w:rsidR="002904E1">
        <w:rPr>
          <w:rFonts w:ascii="Times New Roman" w:hAnsi="Times New Roman" w:cs="Times New Roman"/>
          <w:sz w:val="28"/>
          <w:szCs w:val="28"/>
        </w:rPr>
        <w:t>6</w:t>
      </w:r>
      <w:r w:rsidR="00E2355F" w:rsidRPr="00AA0DBE">
        <w:rPr>
          <w:rFonts w:ascii="Times New Roman" w:hAnsi="Times New Roman" w:cs="Times New Roman"/>
          <w:sz w:val="28"/>
          <w:szCs w:val="28"/>
        </w:rPr>
        <w:t xml:space="preserve"> годы приведено в таблице (тыс.</w:t>
      </w:r>
      <w:r w:rsidR="00E2355F">
        <w:rPr>
          <w:rFonts w:ascii="Times New Roman" w:hAnsi="Times New Roman" w:cs="Times New Roman"/>
          <w:sz w:val="28"/>
          <w:szCs w:val="28"/>
        </w:rPr>
        <w:t xml:space="preserve"> </w:t>
      </w:r>
      <w:r w:rsidR="00E2355F" w:rsidRPr="00AA0DBE">
        <w:rPr>
          <w:rFonts w:ascii="Times New Roman" w:hAnsi="Times New Roman" w:cs="Times New Roman"/>
          <w:sz w:val="28"/>
          <w:szCs w:val="28"/>
        </w:rPr>
        <w:t>руб.):</w:t>
      </w:r>
    </w:p>
    <w:p w:rsidR="00E2355F" w:rsidRPr="002C1BDB" w:rsidRDefault="00E2355F" w:rsidP="00E235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134"/>
        <w:gridCol w:w="1134"/>
        <w:gridCol w:w="1134"/>
      </w:tblGrid>
      <w:tr w:rsidR="00E2355F" w:rsidRPr="006F635B" w:rsidTr="00E2355F">
        <w:trPr>
          <w:trHeight w:val="142"/>
        </w:trPr>
        <w:tc>
          <w:tcPr>
            <w:tcW w:w="595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220F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220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220F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E2355F" w:rsidRPr="006F635B" w:rsidTr="00E2355F">
        <w:trPr>
          <w:trHeight w:val="53"/>
        </w:trPr>
        <w:tc>
          <w:tcPr>
            <w:tcW w:w="5954" w:type="dxa"/>
          </w:tcPr>
          <w:p w:rsidR="00E2355F" w:rsidRPr="000F6D90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муниципального образования</w:t>
            </w:r>
          </w:p>
        </w:tc>
        <w:tc>
          <w:tcPr>
            <w:tcW w:w="1134" w:type="dxa"/>
            <w:vAlign w:val="center"/>
          </w:tcPr>
          <w:p w:rsidR="00E2355F" w:rsidRPr="00381F2C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13069,9</w:t>
            </w:r>
          </w:p>
        </w:tc>
        <w:tc>
          <w:tcPr>
            <w:tcW w:w="1134" w:type="dxa"/>
            <w:vAlign w:val="center"/>
          </w:tcPr>
          <w:p w:rsidR="00E2355F" w:rsidRPr="00381F2C" w:rsidRDefault="00A220FD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12540,5</w:t>
            </w:r>
          </w:p>
        </w:tc>
        <w:tc>
          <w:tcPr>
            <w:tcW w:w="1134" w:type="dxa"/>
            <w:vAlign w:val="center"/>
          </w:tcPr>
          <w:p w:rsidR="00E2355F" w:rsidRPr="00381F2C" w:rsidRDefault="00A220FD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7470,0</w:t>
            </w:r>
          </w:p>
        </w:tc>
      </w:tr>
      <w:tr w:rsidR="00E2355F" w:rsidRPr="006F635B" w:rsidTr="00E2355F">
        <w:trPr>
          <w:trHeight w:val="307"/>
        </w:trPr>
        <w:tc>
          <w:tcPr>
            <w:tcW w:w="5954" w:type="dxa"/>
          </w:tcPr>
          <w:p w:rsidR="00E2355F" w:rsidRPr="000F6D90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  <w:r w:rsidR="00D56D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vAlign w:val="center"/>
          </w:tcPr>
          <w:p w:rsidR="00E2355F" w:rsidRPr="00657B7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43526,5</w:t>
            </w:r>
          </w:p>
        </w:tc>
        <w:tc>
          <w:tcPr>
            <w:tcW w:w="1134" w:type="dxa"/>
            <w:vAlign w:val="center"/>
          </w:tcPr>
          <w:p w:rsidR="00E2355F" w:rsidRPr="00657B71" w:rsidRDefault="00A220FD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2355F" w:rsidRPr="00657B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2355F" w:rsidRPr="00657B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2355F" w:rsidRPr="00657B71" w:rsidRDefault="00E2355F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220FD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  <w:r w:rsidRPr="00657B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улице </w:t>
            </w:r>
            <w:r w:rsidR="00A220FD">
              <w:rPr>
                <w:rFonts w:ascii="Times New Roman" w:eastAsia="Times New Roman" w:hAnsi="Times New Roman" w:cs="Times New Roman"/>
                <w:lang w:eastAsia="ru-RU"/>
              </w:rPr>
              <w:t>Чехова</w:t>
            </w:r>
          </w:p>
        </w:tc>
        <w:tc>
          <w:tcPr>
            <w:tcW w:w="1134" w:type="dxa"/>
            <w:vAlign w:val="center"/>
          </w:tcPr>
          <w:p w:rsidR="00E2355F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16525,5</w:t>
            </w:r>
            <w:r w:rsidR="00E2355F" w:rsidRPr="007C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20FD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от </w:t>
            </w:r>
            <w:proofErr w:type="spellStart"/>
            <w:r w:rsidR="00A220FD">
              <w:rPr>
                <w:rFonts w:ascii="Times New Roman" w:eastAsia="Times New Roman" w:hAnsi="Times New Roman" w:cs="Times New Roman"/>
                <w:lang w:eastAsia="ru-RU"/>
              </w:rPr>
              <w:t>Горынского</w:t>
            </w:r>
            <w:proofErr w:type="spellEnd"/>
            <w:r w:rsidR="00A220FD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кладбища до северной границы города</w:t>
            </w:r>
          </w:p>
        </w:tc>
        <w:tc>
          <w:tcPr>
            <w:tcW w:w="1134" w:type="dxa"/>
            <w:vAlign w:val="center"/>
          </w:tcPr>
          <w:p w:rsidR="00E2355F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9877,9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20FD">
              <w:rPr>
                <w:rFonts w:ascii="Times New Roman" w:eastAsia="Times New Roman" w:hAnsi="Times New Roman" w:cs="Times New Roman"/>
                <w:lang w:eastAsia="ru-RU"/>
              </w:rPr>
              <w:t>автомобильной дороги на рейд</w:t>
            </w:r>
          </w:p>
        </w:tc>
        <w:tc>
          <w:tcPr>
            <w:tcW w:w="1134" w:type="dxa"/>
            <w:vAlign w:val="center"/>
          </w:tcPr>
          <w:p w:rsidR="00E2355F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5025,1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Тойменка</w:t>
            </w:r>
            <w:proofErr w:type="spellEnd"/>
          </w:p>
        </w:tc>
        <w:tc>
          <w:tcPr>
            <w:tcW w:w="1134" w:type="dxa"/>
            <w:vAlign w:val="center"/>
          </w:tcPr>
          <w:p w:rsidR="00A220FD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8998,0</w:t>
            </w: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улице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</w:p>
        </w:tc>
        <w:tc>
          <w:tcPr>
            <w:tcW w:w="1134" w:type="dxa"/>
            <w:vAlign w:val="center"/>
          </w:tcPr>
          <w:p w:rsidR="00A220FD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8998,0</w:t>
            </w: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улице Урицкого</w:t>
            </w:r>
          </w:p>
        </w:tc>
        <w:tc>
          <w:tcPr>
            <w:tcW w:w="1134" w:type="dxa"/>
            <w:vAlign w:val="center"/>
          </w:tcPr>
          <w:p w:rsidR="00A220FD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8878,0</w:t>
            </w: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C70D45" w:rsidP="00C70D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устранение деформаций и повреждений покрытия на автомобильных дорогах городской уличной сети</w:t>
            </w:r>
          </w:p>
        </w:tc>
        <w:tc>
          <w:tcPr>
            <w:tcW w:w="1134" w:type="dxa"/>
            <w:vAlign w:val="center"/>
          </w:tcPr>
          <w:p w:rsidR="00E2355F" w:rsidRPr="00C70D45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D45" w:rsidRPr="006F635B" w:rsidTr="00E2355F">
        <w:trPr>
          <w:trHeight w:val="314"/>
        </w:trPr>
        <w:tc>
          <w:tcPr>
            <w:tcW w:w="5954" w:type="dxa"/>
          </w:tcPr>
          <w:p w:rsidR="00C70D45" w:rsidRDefault="00C70D45" w:rsidP="00C70D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водоотводного лотка в районе магазина «Левша»</w:t>
            </w:r>
          </w:p>
        </w:tc>
        <w:tc>
          <w:tcPr>
            <w:tcW w:w="1134" w:type="dxa"/>
            <w:vAlign w:val="center"/>
          </w:tcPr>
          <w:p w:rsidR="00C70D45" w:rsidRPr="00C70D45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134" w:type="dxa"/>
            <w:vAlign w:val="center"/>
          </w:tcPr>
          <w:p w:rsidR="00C70D45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0D45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Pr="000F6D90" w:rsidRDefault="00C70D45" w:rsidP="00D56D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</w:t>
            </w:r>
            <w:r w:rsidR="00D56D33">
              <w:rPr>
                <w:rFonts w:ascii="Times New Roman" w:eastAsia="Times New Roman" w:hAnsi="Times New Roman" w:cs="Times New Roman"/>
                <w:lang w:eastAsia="ru-RU"/>
              </w:rPr>
              <w:t xml:space="preserve"> дворовых территорий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и пешеходн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дорож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к (в рамках ППМИ)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70D45">
              <w:rPr>
                <w:rFonts w:ascii="Times New Roman" w:eastAsia="Times New Roman" w:hAnsi="Times New Roman" w:cs="Times New Roman"/>
                <w:lang w:eastAsia="ru-RU"/>
              </w:rPr>
              <w:t>868,8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Устранение деформаций (ямочный ремонт)</w:t>
            </w:r>
          </w:p>
        </w:tc>
        <w:tc>
          <w:tcPr>
            <w:tcW w:w="1134" w:type="dxa"/>
            <w:vAlign w:val="center"/>
          </w:tcPr>
          <w:p w:rsidR="00E2355F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17678,0</w:t>
            </w:r>
          </w:p>
        </w:tc>
        <w:tc>
          <w:tcPr>
            <w:tcW w:w="1134" w:type="dxa"/>
            <w:vAlign w:val="center"/>
          </w:tcPr>
          <w:p w:rsidR="00E2355F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E2355F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Установка дорожных знаков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ограждений</w:t>
            </w:r>
          </w:p>
        </w:tc>
        <w:tc>
          <w:tcPr>
            <w:tcW w:w="1134" w:type="dxa"/>
            <w:vAlign w:val="center"/>
          </w:tcPr>
          <w:p w:rsidR="00E2355F" w:rsidRDefault="00C70D45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355F" w:rsidRPr="006F635B" w:rsidTr="00E2355F">
        <w:trPr>
          <w:trHeight w:val="283"/>
        </w:trPr>
        <w:tc>
          <w:tcPr>
            <w:tcW w:w="5954" w:type="dxa"/>
          </w:tcPr>
          <w:p w:rsidR="00E2355F" w:rsidRPr="00381F2C" w:rsidRDefault="00C70D45" w:rsidP="00E2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E2355F" w:rsidRPr="00381F2C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светофорного узла на пересечении улиц </w:t>
            </w:r>
            <w:proofErr w:type="spellStart"/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Гагарина-Ленина-Тойменка</w:t>
            </w:r>
            <w:proofErr w:type="spellEnd"/>
          </w:p>
        </w:tc>
        <w:tc>
          <w:tcPr>
            <w:tcW w:w="1134" w:type="dxa"/>
            <w:vAlign w:val="center"/>
          </w:tcPr>
          <w:p w:rsidR="00E2355F" w:rsidRPr="00381F2C" w:rsidRDefault="00C70D45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1134" w:type="dxa"/>
            <w:vAlign w:val="center"/>
          </w:tcPr>
          <w:p w:rsidR="00E2355F" w:rsidRPr="00381F2C" w:rsidRDefault="00C70D45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134" w:type="dxa"/>
            <w:vAlign w:val="center"/>
          </w:tcPr>
          <w:p w:rsidR="00E2355F" w:rsidRPr="00381F2C" w:rsidRDefault="00C70D45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E2355F" w:rsidRPr="00381F2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2355F" w:rsidRPr="006F635B" w:rsidTr="00E2355F">
        <w:trPr>
          <w:trHeight w:val="283"/>
        </w:trPr>
        <w:tc>
          <w:tcPr>
            <w:tcW w:w="5954" w:type="dxa"/>
          </w:tcPr>
          <w:p w:rsidR="00E2355F" w:rsidRPr="00381F2C" w:rsidRDefault="00DF1426" w:rsidP="00E2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C70D45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перехода через реку </w:t>
            </w:r>
            <w:proofErr w:type="spellStart"/>
            <w:r w:rsidR="00C70D45">
              <w:rPr>
                <w:rFonts w:ascii="Times New Roman" w:eastAsia="Times New Roman" w:hAnsi="Times New Roman" w:cs="Times New Roman"/>
                <w:lang w:eastAsia="ru-RU"/>
              </w:rPr>
              <w:t>Тойменка</w:t>
            </w:r>
            <w:proofErr w:type="spellEnd"/>
            <w:r w:rsidR="00C70D45">
              <w:rPr>
                <w:rFonts w:ascii="Times New Roman" w:eastAsia="Times New Roman" w:hAnsi="Times New Roman" w:cs="Times New Roman"/>
                <w:lang w:eastAsia="ru-RU"/>
              </w:rPr>
              <w:t xml:space="preserve"> в микрорайоне «Осинки»</w:t>
            </w:r>
          </w:p>
        </w:tc>
        <w:tc>
          <w:tcPr>
            <w:tcW w:w="1134" w:type="dxa"/>
            <w:vAlign w:val="center"/>
          </w:tcPr>
          <w:p w:rsidR="00E2355F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vAlign w:val="center"/>
          </w:tcPr>
          <w:p w:rsidR="00E2355F" w:rsidRPr="00381F2C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381F2C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D45" w:rsidRPr="006F635B" w:rsidTr="00E2355F">
        <w:trPr>
          <w:trHeight w:val="283"/>
        </w:trPr>
        <w:tc>
          <w:tcPr>
            <w:tcW w:w="5954" w:type="dxa"/>
          </w:tcPr>
          <w:p w:rsidR="00C70D45" w:rsidRDefault="00DF1426" w:rsidP="00E2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8.ПСД для строительства дорог в микрорайоне «Северный»</w:t>
            </w:r>
          </w:p>
        </w:tc>
        <w:tc>
          <w:tcPr>
            <w:tcW w:w="1134" w:type="dxa"/>
            <w:vAlign w:val="center"/>
          </w:tcPr>
          <w:p w:rsidR="00C70D45" w:rsidRDefault="00DF1426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C70D45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0D45" w:rsidRPr="00381F2C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55F" w:rsidRPr="006F635B" w:rsidTr="00E2355F">
        <w:trPr>
          <w:trHeight w:val="146"/>
        </w:trPr>
        <w:tc>
          <w:tcPr>
            <w:tcW w:w="5954" w:type="dxa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2355F" w:rsidRPr="00C16D5F" w:rsidRDefault="00A220FD" w:rsidP="00E2355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87145,3</w:t>
            </w:r>
          </w:p>
        </w:tc>
        <w:tc>
          <w:tcPr>
            <w:tcW w:w="1134" w:type="dxa"/>
          </w:tcPr>
          <w:p w:rsidR="00E2355F" w:rsidRPr="00C16D5F" w:rsidRDefault="00A220FD" w:rsidP="00A220F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22637</w:t>
            </w:r>
            <w:r w:rsidR="00E23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</w:tcPr>
          <w:p w:rsidR="00E2355F" w:rsidRPr="00C16D5F" w:rsidRDefault="00E2355F" w:rsidP="00A220F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22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7446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</w:tbl>
    <w:p w:rsidR="00E2355F" w:rsidRPr="006F635B" w:rsidRDefault="00E2355F" w:rsidP="00E2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B9" w:rsidRPr="00AA0DBE" w:rsidRDefault="005455B9" w:rsidP="00AE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в 202</w:t>
      </w:r>
      <w:r w:rsidR="00AE75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предусматривается в рамках МП</w:t>
      </w:r>
      <w:r w:rsidR="0010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572" w:rsidRPr="007C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институтов гражданского общества</w:t>
      </w:r>
      <w:r w:rsidR="00AE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МП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МП «</w:t>
      </w:r>
      <w:r w:rsidR="0010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строительства и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750AA9" w:rsidRDefault="005455B9" w:rsidP="005E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проекту решения о бюджете в 202</w:t>
      </w:r>
      <w:r w:rsidR="0010257A">
        <w:rPr>
          <w:rFonts w:ascii="Times New Roman" w:hAnsi="Times New Roman" w:cs="Times New Roman"/>
          <w:sz w:val="28"/>
          <w:szCs w:val="28"/>
        </w:rPr>
        <w:t>4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257A">
        <w:rPr>
          <w:rFonts w:ascii="Times New Roman" w:hAnsi="Times New Roman" w:cs="Times New Roman"/>
          <w:sz w:val="28"/>
          <w:szCs w:val="28"/>
        </w:rPr>
        <w:t>в рамках МП «</w:t>
      </w:r>
      <w:r w:rsidR="0010257A" w:rsidRPr="007C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институтов гражданского общества</w:t>
      </w:r>
      <w:r w:rsidR="0010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счет средств дорожного фонда планируется реализовать 17 проектов местных инициатив. На дорожную деятельность планируется направить средств</w:t>
      </w:r>
      <w:r w:rsidR="00AC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75276,6 тыс. руб., в том числе средства областного бюджета </w:t>
      </w:r>
      <w:r w:rsidR="005E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70448,0 тыс. руб. 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D8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455B9" w:rsidRDefault="005455B9" w:rsidP="00545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6D7B"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Pr="006E6D7B">
        <w:rPr>
          <w:rFonts w:ascii="Times New Roman" w:hAnsi="Times New Roman" w:cs="Times New Roman"/>
          <w:sz w:val="28"/>
          <w:szCs w:val="28"/>
        </w:rPr>
        <w:t>Проектом городского</w:t>
      </w:r>
      <w:r w:rsidRPr="006E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7B">
        <w:rPr>
          <w:rFonts w:ascii="Times New Roman" w:hAnsi="Times New Roman" w:cs="Times New Roman"/>
          <w:sz w:val="28"/>
          <w:szCs w:val="28"/>
        </w:rPr>
        <w:t xml:space="preserve">бюджета на плановый период предлагается утвердить условно утверждаемые расходы в сумме </w:t>
      </w:r>
      <w:r w:rsidR="005E264D">
        <w:rPr>
          <w:rFonts w:ascii="Times New Roman" w:hAnsi="Times New Roman" w:cs="Times New Roman"/>
          <w:sz w:val="28"/>
          <w:szCs w:val="28"/>
        </w:rPr>
        <w:t>1</w:t>
      </w:r>
      <w:r w:rsidR="0068537E">
        <w:rPr>
          <w:rFonts w:ascii="Times New Roman" w:hAnsi="Times New Roman" w:cs="Times New Roman"/>
          <w:sz w:val="28"/>
          <w:szCs w:val="28"/>
        </w:rPr>
        <w:t>0</w:t>
      </w:r>
      <w:r w:rsidR="005E264D">
        <w:rPr>
          <w:rFonts w:ascii="Times New Roman" w:hAnsi="Times New Roman" w:cs="Times New Roman"/>
          <w:sz w:val="28"/>
          <w:szCs w:val="28"/>
        </w:rPr>
        <w:t>0</w:t>
      </w:r>
      <w:r w:rsidRPr="006E6D7B">
        <w:rPr>
          <w:rFonts w:ascii="Times New Roman" w:hAnsi="Times New Roman" w:cs="Times New Roman"/>
          <w:sz w:val="28"/>
          <w:szCs w:val="28"/>
        </w:rPr>
        <w:t>00,0 тыс. руб.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E26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F0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E264D">
        <w:rPr>
          <w:rFonts w:ascii="Times New Roman" w:hAnsi="Times New Roman" w:cs="Times New Roman"/>
          <w:sz w:val="28"/>
          <w:szCs w:val="28"/>
        </w:rPr>
        <w:t>20500</w:t>
      </w:r>
      <w:r>
        <w:rPr>
          <w:rFonts w:ascii="Times New Roman" w:hAnsi="Times New Roman" w:cs="Times New Roman"/>
          <w:sz w:val="28"/>
          <w:szCs w:val="28"/>
        </w:rPr>
        <w:t>,0 тыс. руб. – на 202</w:t>
      </w:r>
      <w:r w:rsidR="005E26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что соответствует нормам статьи 184.1 Бюджетного кодекса РФ.</w:t>
      </w:r>
    </w:p>
    <w:p w:rsidR="005455B9" w:rsidRDefault="005455B9" w:rsidP="00545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городского бюджета на трехлетний период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учетом реализации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программ</w:t>
      </w:r>
      <w:r w:rsidR="008A3765" w:rsidRPr="008A3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постановлением администрации города Вятские Поляны от 19.05.2015 № 949 «Об утверждении Перечня муниципальных программ муниципального образования городского округа город Вятские Поляны Кировской области».</w:t>
      </w:r>
    </w:p>
    <w:p w:rsidR="008A3765" w:rsidRDefault="008A3765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реализацию 14 муниципальных программ запланированы расходы в общей сумме 847153,2 тыс. руб. </w:t>
      </w:r>
      <w:r w:rsidR="00FF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МП «Поддержка и развитие малого и среднего предпринимательства в городе Вятские Поляны» проектом решения не предусмотрено.</w:t>
      </w:r>
    </w:p>
    <w:p w:rsidR="004624D2" w:rsidRPr="004037B0" w:rsidRDefault="008A3765" w:rsidP="004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расходах городского бюджета занимают расходы на реализацию программ </w:t>
      </w:r>
      <w:r w:rsidR="004624D2" w:rsidRPr="004037B0">
        <w:rPr>
          <w:rFonts w:ascii="Times New Roman" w:hAnsi="Times New Roman" w:cs="Times New Roman"/>
          <w:sz w:val="28"/>
          <w:szCs w:val="28"/>
        </w:rPr>
        <w:t xml:space="preserve">«Развитие образования» - </w:t>
      </w:r>
      <w:r w:rsidR="004624D2">
        <w:rPr>
          <w:rFonts w:ascii="Times New Roman" w:hAnsi="Times New Roman" w:cs="Times New Roman"/>
          <w:sz w:val="28"/>
          <w:szCs w:val="28"/>
        </w:rPr>
        <w:t>59,5</w:t>
      </w:r>
      <w:r w:rsidR="004624D2" w:rsidRPr="004037B0">
        <w:rPr>
          <w:rFonts w:ascii="Times New Roman" w:hAnsi="Times New Roman" w:cs="Times New Roman"/>
          <w:sz w:val="28"/>
          <w:szCs w:val="28"/>
        </w:rPr>
        <w:t>%</w:t>
      </w:r>
      <w:r w:rsidR="004624D2">
        <w:rPr>
          <w:rFonts w:ascii="Times New Roman" w:hAnsi="Times New Roman" w:cs="Times New Roman"/>
          <w:sz w:val="28"/>
          <w:szCs w:val="28"/>
        </w:rPr>
        <w:t xml:space="preserve"> от общего объема расходов,</w:t>
      </w:r>
      <w:r w:rsidR="004624D2" w:rsidRPr="004037B0">
        <w:rPr>
          <w:rFonts w:ascii="Times New Roman" w:hAnsi="Times New Roman" w:cs="Times New Roman"/>
          <w:sz w:val="28"/>
          <w:szCs w:val="28"/>
        </w:rPr>
        <w:t xml:space="preserve"> «Развитие культуры» - </w:t>
      </w:r>
      <w:r w:rsidR="004624D2">
        <w:rPr>
          <w:rFonts w:ascii="Times New Roman" w:hAnsi="Times New Roman" w:cs="Times New Roman"/>
          <w:sz w:val="28"/>
          <w:szCs w:val="28"/>
        </w:rPr>
        <w:t>11,8% и «</w:t>
      </w:r>
      <w:r w:rsidR="004624D2" w:rsidRPr="00BC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4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 системы» - 9,3%.</w:t>
      </w:r>
    </w:p>
    <w:p w:rsidR="005455B9" w:rsidRDefault="004624D2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объемах финансирования в 2024</w:t>
      </w:r>
      <w:r w:rsidR="00E171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1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представлена в таблице:</w:t>
      </w:r>
    </w:p>
    <w:tbl>
      <w:tblPr>
        <w:tblStyle w:val="af"/>
        <w:tblW w:w="0" w:type="auto"/>
        <w:tblLook w:val="04A0"/>
      </w:tblPr>
      <w:tblGrid>
        <w:gridCol w:w="534"/>
        <w:gridCol w:w="4536"/>
        <w:gridCol w:w="1275"/>
        <w:gridCol w:w="993"/>
        <w:gridCol w:w="1134"/>
        <w:gridCol w:w="1099"/>
      </w:tblGrid>
      <w:tr w:rsidR="00151DDA" w:rsidTr="00103B9A">
        <w:tc>
          <w:tcPr>
            <w:tcW w:w="534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993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134" w:type="dxa"/>
          </w:tcPr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99" w:type="dxa"/>
          </w:tcPr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151DDA" w:rsidTr="00103B9A">
        <w:tc>
          <w:tcPr>
            <w:tcW w:w="534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151DDA" w:rsidRPr="00103B9A" w:rsidRDefault="00103B9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B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847153,2</w:t>
            </w:r>
          </w:p>
        </w:tc>
        <w:tc>
          <w:tcPr>
            <w:tcW w:w="993" w:type="dxa"/>
          </w:tcPr>
          <w:p w:rsidR="00151DDA" w:rsidRPr="00103B9A" w:rsidRDefault="00103B9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B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51DDA" w:rsidRPr="00103B9A" w:rsidRDefault="007748F0" w:rsidP="007748F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740100,8</w:t>
            </w:r>
          </w:p>
        </w:tc>
        <w:tc>
          <w:tcPr>
            <w:tcW w:w="1099" w:type="dxa"/>
          </w:tcPr>
          <w:p w:rsidR="00151DDA" w:rsidRPr="00103B9A" w:rsidRDefault="007748F0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728158,9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503823,6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506236,2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484688,6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1938,1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1878,1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1878,1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99992,1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99539,1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99459,7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16396,1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15617,6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15591,3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15746,5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422,5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города Вятские Поляны Кировской области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1350,3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1350,3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1350,3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</w:tcPr>
          <w:p w:rsidR="00151DDA" w:rsidRPr="0023347A" w:rsidRDefault="00151DDA" w:rsidP="00151DDA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строительства и архитектуры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5633,3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1951,5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1932,9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78856,6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23717,9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18546,0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жилищно-коммунальной инфраструктуры города Вятские Поляны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48402,8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13997,0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13997,0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Охрана окружающей среды, воспроизводство и использование природных ресурсов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993" w:type="dxa"/>
          </w:tcPr>
          <w:p w:rsidR="00151DDA" w:rsidRDefault="00103B9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8116,4</w:t>
            </w:r>
          </w:p>
        </w:tc>
        <w:tc>
          <w:tcPr>
            <w:tcW w:w="993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10385,0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11412,7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и другие обязательства муниципального образования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40388,9</w:t>
            </w:r>
          </w:p>
        </w:tc>
        <w:tc>
          <w:tcPr>
            <w:tcW w:w="993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39065,1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38295,3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151DD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13173,8</w:t>
            </w:r>
          </w:p>
        </w:tc>
        <w:tc>
          <w:tcPr>
            <w:tcW w:w="993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25710,5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40354,5</w:t>
            </w:r>
          </w:p>
        </w:tc>
      </w:tr>
      <w:tr w:rsidR="00151DDA" w:rsidTr="00103B9A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275" w:type="dxa"/>
          </w:tcPr>
          <w:p w:rsidR="00151DDA" w:rsidRDefault="005B30A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12524,7</w:t>
            </w:r>
          </w:p>
        </w:tc>
        <w:tc>
          <w:tcPr>
            <w:tcW w:w="993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9" w:type="dxa"/>
          </w:tcPr>
          <w:p w:rsidR="00151DDA" w:rsidRDefault="007748F0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151DDA" w:rsidRDefault="00151DDA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5B9" w:rsidRDefault="005455B9" w:rsidP="004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Конкретные направления</w:t>
      </w:r>
      <w:r w:rsidR="004624D2">
        <w:rPr>
          <w:rFonts w:ascii="Times New Roman" w:eastAsia="Calibri" w:hAnsi="Times New Roman" w:cs="Times New Roman"/>
          <w:sz w:val="28"/>
          <w:szCs w:val="28"/>
        </w:rPr>
        <w:t xml:space="preserve"> (мероприятия) использования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 городского бюджета в рамках муниципальных программ в 202</w:t>
      </w:r>
      <w:r w:rsidR="004624D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подробно изложены в </w:t>
      </w:r>
      <w:r w:rsidR="00D56D3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ояснительной записке к проекту решения.</w:t>
      </w:r>
    </w:p>
    <w:p w:rsidR="005455B9" w:rsidRDefault="005455B9" w:rsidP="0054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5B9" w:rsidRPr="006F635B" w:rsidRDefault="005455B9" w:rsidP="0054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A3D81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635B">
        <w:rPr>
          <w:rFonts w:ascii="Times New Roman" w:eastAsia="Calibri" w:hAnsi="Times New Roman" w:cs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5455B9" w:rsidRDefault="005455B9" w:rsidP="005455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проекту решения </w:t>
      </w:r>
      <w:r w:rsidR="006207B1">
        <w:rPr>
          <w:rFonts w:ascii="Times New Roman" w:hAnsi="Times New Roman" w:cs="Times New Roman"/>
          <w:sz w:val="28"/>
          <w:szCs w:val="28"/>
        </w:rPr>
        <w:t>городской бюджет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B2C">
        <w:rPr>
          <w:rFonts w:ascii="Times New Roman" w:hAnsi="Times New Roman" w:cs="Times New Roman"/>
          <w:sz w:val="28"/>
          <w:szCs w:val="28"/>
        </w:rPr>
        <w:t>202</w:t>
      </w:r>
      <w:r w:rsidR="006207B1">
        <w:rPr>
          <w:rFonts w:ascii="Times New Roman" w:hAnsi="Times New Roman" w:cs="Times New Roman"/>
          <w:sz w:val="28"/>
          <w:szCs w:val="28"/>
        </w:rPr>
        <w:t xml:space="preserve">4 год </w:t>
      </w:r>
      <w:r>
        <w:rPr>
          <w:rFonts w:ascii="Times New Roman" w:hAnsi="Times New Roman" w:cs="Times New Roman"/>
          <w:sz w:val="28"/>
          <w:szCs w:val="28"/>
        </w:rPr>
        <w:t>спрогнозирован</w:t>
      </w:r>
      <w:r w:rsidRPr="00203B2C">
        <w:rPr>
          <w:rFonts w:ascii="Times New Roman" w:hAnsi="Times New Roman" w:cs="Times New Roman"/>
          <w:sz w:val="28"/>
          <w:szCs w:val="28"/>
        </w:rPr>
        <w:t xml:space="preserve"> </w:t>
      </w:r>
      <w:r w:rsidR="006207B1">
        <w:rPr>
          <w:rFonts w:ascii="Times New Roman" w:hAnsi="Times New Roman" w:cs="Times New Roman"/>
          <w:sz w:val="28"/>
          <w:szCs w:val="28"/>
        </w:rPr>
        <w:t xml:space="preserve">с </w:t>
      </w:r>
      <w:r w:rsidR="006207B1" w:rsidRPr="000453CD">
        <w:rPr>
          <w:rFonts w:ascii="Times New Roman" w:hAnsi="Times New Roman" w:cs="Times New Roman"/>
          <w:b/>
          <w:sz w:val="28"/>
          <w:szCs w:val="28"/>
        </w:rPr>
        <w:t>дефицитом</w:t>
      </w:r>
      <w:r w:rsidR="006207B1">
        <w:rPr>
          <w:rFonts w:ascii="Times New Roman" w:hAnsi="Times New Roman" w:cs="Times New Roman"/>
          <w:sz w:val="28"/>
          <w:szCs w:val="28"/>
        </w:rPr>
        <w:t xml:space="preserve"> </w:t>
      </w:r>
      <w:r w:rsidR="00355F2B">
        <w:rPr>
          <w:rFonts w:ascii="Times New Roman" w:hAnsi="Times New Roman" w:cs="Times New Roman"/>
          <w:sz w:val="28"/>
          <w:szCs w:val="28"/>
        </w:rPr>
        <w:t xml:space="preserve">в сумме 5000,0 тыс. руб. и с </w:t>
      </w:r>
      <w:proofErr w:type="spellStart"/>
      <w:r w:rsidR="00355F2B">
        <w:rPr>
          <w:rFonts w:ascii="Times New Roman" w:hAnsi="Times New Roman" w:cs="Times New Roman"/>
          <w:sz w:val="28"/>
          <w:szCs w:val="28"/>
        </w:rPr>
        <w:t>п</w:t>
      </w:r>
      <w:r w:rsidR="00115B2A">
        <w:rPr>
          <w:rFonts w:ascii="Times New Roman" w:eastAsia="Calibri" w:hAnsi="Times New Roman" w:cs="Times New Roman"/>
          <w:sz w:val="28"/>
          <w:szCs w:val="28"/>
        </w:rPr>
        <w:t>ро</w:t>
      </w:r>
      <w:r>
        <w:rPr>
          <w:rFonts w:ascii="Times New Roman" w:eastAsia="Calibri" w:hAnsi="Times New Roman" w:cs="Times New Roman"/>
          <w:sz w:val="28"/>
          <w:szCs w:val="28"/>
        </w:rPr>
        <w:t>фицит</w:t>
      </w:r>
      <w:r w:rsidR="00355F2B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F2B">
        <w:rPr>
          <w:rFonts w:ascii="Times New Roman" w:eastAsia="Calibri" w:hAnsi="Times New Roman" w:cs="Times New Roman"/>
          <w:sz w:val="28"/>
          <w:szCs w:val="28"/>
        </w:rPr>
        <w:t>на среднесрочную перспективу в 2025-2026 годах в объеме 5048,3 тыс. руб. ежегодно, что обусловлено необходимостью выполнения условий предоставления и использования бюджетного кредита</w:t>
      </w:r>
      <w:r w:rsidR="00A14B71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</w:t>
      </w:r>
      <w:r w:rsidRPr="00203B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1CDE" w:rsidRPr="00203B2C" w:rsidRDefault="00AB1CDE" w:rsidP="005455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Источником покрытия дефицита городского бюджета в сумме 5000,0 тыс. руб. являются</w:t>
      </w:r>
      <w:r w:rsidR="00B53A77">
        <w:rPr>
          <w:rFonts w:ascii="Times New Roman" w:eastAsia="Calibri" w:hAnsi="Times New Roman" w:cs="Times New Roman"/>
          <w:sz w:val="28"/>
          <w:szCs w:val="28"/>
        </w:rPr>
        <w:t xml:space="preserve"> остатки </w:t>
      </w:r>
      <w:r w:rsidR="00BB2E3A">
        <w:rPr>
          <w:rFonts w:ascii="Times New Roman" w:eastAsia="Calibri" w:hAnsi="Times New Roman" w:cs="Times New Roman"/>
          <w:sz w:val="28"/>
          <w:szCs w:val="28"/>
        </w:rPr>
        <w:t xml:space="preserve">средств на едином счете бюджета по итогам 2023 года </w:t>
      </w:r>
      <w:r w:rsidR="000453CD">
        <w:rPr>
          <w:rFonts w:ascii="Times New Roman" w:eastAsia="Calibri" w:hAnsi="Times New Roman" w:cs="Times New Roman"/>
          <w:sz w:val="28"/>
          <w:szCs w:val="28"/>
        </w:rPr>
        <w:t>(5048,3 тыс. руб.), привлечение кредитов кредитных организаций (18000,0 тыс. руб.) при одновременном погашении ранее привлеченного бюджетного кредита в сумме 18048,3 тыс. руб.</w:t>
      </w:r>
    </w:p>
    <w:p w:rsidR="005455B9" w:rsidRPr="00560F0E" w:rsidRDefault="005455B9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Долговая политика 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45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среднесрочную перспективу 202</w:t>
      </w:r>
      <w:r w:rsidR="000453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453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направлена </w:t>
      </w:r>
      <w:r w:rsidR="0003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объеме, установленном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Правительством Кировской области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сокращением муниципального долга до 148639,0 тыс. руб. по итогам 2026 года.</w:t>
      </w:r>
    </w:p>
    <w:p w:rsidR="005455B9" w:rsidRPr="00D1051A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</w:t>
      </w:r>
      <w:r w:rsidR="00D95E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за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кредитов кредитных организаций в общей сумме 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 тыс. руб.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кредита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1804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85FCE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F85FCE" w:rsidRP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и плановом периоде 2025 и 2026 годов </w:t>
      </w:r>
      <w:r w:rsidR="00F85FCE" w:rsidRPr="00763C6F">
        <w:rPr>
          <w:rFonts w:ascii="Times New Roman" w:eastAsia="Calibri" w:hAnsi="Times New Roman" w:cs="Times New Roman"/>
          <w:sz w:val="28"/>
          <w:szCs w:val="28"/>
        </w:rPr>
        <w:t>муниципальных гарантий не планируется.</w:t>
      </w:r>
    </w:p>
    <w:p w:rsidR="005455B9" w:rsidRPr="00420ECD" w:rsidRDefault="005455B9" w:rsidP="00F85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 итогам 202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муниципальный долг прогнозируется в объеме 1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58735,6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снижение объема муниципального долга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3687,3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 1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39,0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F54B5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в 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структуре муниципального долга прогнозируется снижение доли бюджетных кредитов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увеличение доли кредитов кредитных организаций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7, что повлечет увеличение расходов городского бюджета на обслуживание муниципального долга.</w:t>
      </w:r>
      <w:proofErr w:type="gramEnd"/>
    </w:p>
    <w:p w:rsidR="005455B9" w:rsidRPr="0070103A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городского бюджета на обслуживание муниципального долга в 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уточненным планом 2023 года (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3600,0 тыс. руб.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планируются с увеличением на 1700,0 тыс. руб. и составят 5300,0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79F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</w:p>
    <w:p w:rsidR="00913D4D" w:rsidRPr="00F54B59" w:rsidRDefault="005455B9" w:rsidP="0091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3A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913D4D" w:rsidRPr="00350EA2" w:rsidRDefault="00913D4D" w:rsidP="00913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на 202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исходя из параметров городского бюджета, предусмотренных проектом решения о бюджете, соблюдены требования статьи 1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в части объема расходов на обслуживание муниципального долга (не превышают 1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расходов, за исключением объема расходов, которые осуществляются за счет субвенций)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7 статьи 10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в части</w:t>
      </w:r>
      <w:proofErr w:type="gramEnd"/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 заимствований</w:t>
      </w:r>
      <w:r w:rsidR="006A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пункта 5 статьи 107 </w:t>
      </w:r>
      <w:r w:rsidR="006A7FB8"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РФ</w:t>
      </w:r>
      <w:r w:rsidR="006A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предельного объема муниципального долга.</w:t>
      </w: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Pr="00350EA2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E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0EA2">
        <w:rPr>
          <w:rFonts w:ascii="Times New Roman" w:eastAsia="Calibri" w:hAnsi="Times New Roman" w:cs="Times New Roman"/>
          <w:b/>
          <w:bCs/>
          <w:sz w:val="28"/>
          <w:szCs w:val="28"/>
        </w:rPr>
        <w:t>7. Выводы</w:t>
      </w:r>
    </w:p>
    <w:p w:rsidR="00BB4018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B2A">
        <w:rPr>
          <w:rFonts w:ascii="Times New Roman" w:eastAsia="Calibri" w:hAnsi="Times New Roman" w:cs="Times New Roman"/>
          <w:b/>
          <w:bCs/>
          <w:sz w:val="28"/>
          <w:szCs w:val="28"/>
        </w:rPr>
        <w:t>7.1.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бюджета на 202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год и плановый период 202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5-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годов 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 xml:space="preserve">сформирован на основе базового (второго) варианта прогноза социально-экономического развития города Вятские Поляны. </w:t>
      </w:r>
    </w:p>
    <w:p w:rsidR="005455B9" w:rsidRPr="00350EA2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городского бюджета </w:t>
      </w:r>
      <w:r w:rsidR="00BB4018">
        <w:rPr>
          <w:rFonts w:ascii="Times New Roman" w:eastAsia="Times New Roman" w:hAnsi="Times New Roman" w:cs="Times New Roman"/>
          <w:sz w:val="28"/>
          <w:szCs w:val="28"/>
        </w:rPr>
        <w:t xml:space="preserve">на 2024-2026 годы учтены Основные направления налоговой и бюджетной политики муниципального образования на 2024-2026 годы, также </w:t>
      </w: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соблюдены требования 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>Бюджетного кодекса</w:t>
      </w: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 РФ относительно предельного объема муниципального долга и предельного объема расходов на его обслуживание.</w:t>
      </w:r>
    </w:p>
    <w:p w:rsidR="005455B9" w:rsidRDefault="005455B9" w:rsidP="005455B9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0E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5455B9" w:rsidRPr="009C0B4A" w:rsidRDefault="005455B9" w:rsidP="005455B9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60B6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15B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6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60B6C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F60B6C">
        <w:rPr>
          <w:rFonts w:ascii="Times New Roman" w:hAnsi="Times New Roman" w:cs="Times New Roman"/>
          <w:sz w:val="28"/>
          <w:szCs w:val="28"/>
        </w:rPr>
        <w:t>бщий объем доходов городского бюджета на 202</w:t>
      </w:r>
      <w:r w:rsidR="006A7FB8">
        <w:rPr>
          <w:rFonts w:ascii="Times New Roman" w:hAnsi="Times New Roman" w:cs="Times New Roman"/>
          <w:sz w:val="28"/>
          <w:szCs w:val="28"/>
        </w:rPr>
        <w:t>4</w:t>
      </w:r>
      <w:r w:rsidRPr="00F60B6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0B4A">
        <w:rPr>
          <w:rFonts w:ascii="Times New Roman" w:hAnsi="Times New Roman" w:cs="Times New Roman"/>
          <w:sz w:val="28"/>
          <w:szCs w:val="28"/>
        </w:rPr>
        <w:t xml:space="preserve">прогнозируется в </w:t>
      </w:r>
      <w:r w:rsidR="00C7362A" w:rsidRPr="009C0B4A">
        <w:rPr>
          <w:rFonts w:ascii="Times New Roman" w:hAnsi="Times New Roman" w:cs="Times New Roman"/>
          <w:sz w:val="28"/>
          <w:szCs w:val="28"/>
        </w:rPr>
        <w:t>размере</w:t>
      </w:r>
      <w:r w:rsidRPr="009C0B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62A" w:rsidRPr="009C0B4A">
        <w:rPr>
          <w:rFonts w:ascii="Times New Roman" w:hAnsi="Times New Roman" w:cs="Times New Roman"/>
          <w:sz w:val="28"/>
          <w:szCs w:val="28"/>
        </w:rPr>
        <w:t>843638,6</w:t>
      </w:r>
      <w:r w:rsidRPr="009C0B4A">
        <w:rPr>
          <w:rFonts w:ascii="Times New Roman" w:hAnsi="Times New Roman" w:cs="Times New Roman"/>
          <w:sz w:val="28"/>
          <w:szCs w:val="28"/>
        </w:rPr>
        <w:t xml:space="preserve"> тыс. руб., что на 3</w:t>
      </w:r>
      <w:r w:rsidR="0067032B">
        <w:rPr>
          <w:rFonts w:ascii="Times New Roman" w:hAnsi="Times New Roman" w:cs="Times New Roman"/>
          <w:sz w:val="28"/>
          <w:szCs w:val="28"/>
        </w:rPr>
        <w:t>215</w:t>
      </w:r>
      <w:r w:rsidRPr="009C0B4A">
        <w:rPr>
          <w:rFonts w:ascii="Times New Roman" w:hAnsi="Times New Roman" w:cs="Times New Roman"/>
          <w:sz w:val="28"/>
          <w:szCs w:val="28"/>
        </w:rPr>
        <w:t>9</w:t>
      </w:r>
      <w:r w:rsidR="0067032B">
        <w:rPr>
          <w:rFonts w:ascii="Times New Roman" w:hAnsi="Times New Roman" w:cs="Times New Roman"/>
          <w:sz w:val="28"/>
          <w:szCs w:val="28"/>
        </w:rPr>
        <w:t>4,4</w:t>
      </w:r>
      <w:r w:rsidRPr="009C0B4A">
        <w:rPr>
          <w:rFonts w:ascii="Times New Roman" w:hAnsi="Times New Roman" w:cs="Times New Roman"/>
          <w:sz w:val="28"/>
          <w:szCs w:val="28"/>
        </w:rPr>
        <w:t xml:space="preserve"> тыс. руб. ниже прогнозного плана 202</w:t>
      </w:r>
      <w:r w:rsidR="009C0B4A" w:rsidRPr="009C0B4A">
        <w:rPr>
          <w:rFonts w:ascii="Times New Roman" w:hAnsi="Times New Roman" w:cs="Times New Roman"/>
          <w:sz w:val="28"/>
          <w:szCs w:val="28"/>
        </w:rPr>
        <w:t>3</w:t>
      </w:r>
      <w:r w:rsidRPr="009C0B4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C0B4A" w:rsidRPr="009C0B4A">
        <w:rPr>
          <w:rFonts w:ascii="Times New Roman" w:hAnsi="Times New Roman" w:cs="Times New Roman"/>
          <w:sz w:val="28"/>
          <w:szCs w:val="28"/>
        </w:rPr>
        <w:t>1165233</w:t>
      </w:r>
      <w:r w:rsidR="0067032B">
        <w:rPr>
          <w:rFonts w:ascii="Times New Roman" w:hAnsi="Times New Roman" w:cs="Times New Roman"/>
          <w:sz w:val="28"/>
          <w:szCs w:val="28"/>
        </w:rPr>
        <w:t>,0</w:t>
      </w:r>
      <w:r w:rsidRPr="009C0B4A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Pr="00C736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0B4A">
        <w:rPr>
          <w:rFonts w:ascii="Times New Roman" w:hAnsi="Times New Roman" w:cs="Times New Roman"/>
          <w:sz w:val="28"/>
          <w:szCs w:val="28"/>
        </w:rPr>
        <w:t>При этом</w:t>
      </w:r>
      <w:r w:rsidR="009C0B4A" w:rsidRPr="009C0B4A">
        <w:rPr>
          <w:rFonts w:ascii="Times New Roman" w:hAnsi="Times New Roman" w:cs="Times New Roman"/>
          <w:sz w:val="28"/>
          <w:szCs w:val="28"/>
        </w:rPr>
        <w:t xml:space="preserve"> собственные доходы городского бюджета</w:t>
      </w:r>
      <w:r w:rsidR="00C7362A" w:rsidRPr="009C0B4A">
        <w:rPr>
          <w:rFonts w:ascii="Times New Roman" w:hAnsi="Times New Roman" w:cs="Times New Roman"/>
          <w:sz w:val="28"/>
          <w:szCs w:val="28"/>
        </w:rPr>
        <w:t xml:space="preserve"> в 2024</w:t>
      </w:r>
      <w:r w:rsidRPr="009C0B4A">
        <w:rPr>
          <w:rFonts w:ascii="Times New Roman" w:hAnsi="Times New Roman" w:cs="Times New Roman"/>
          <w:sz w:val="28"/>
          <w:szCs w:val="28"/>
        </w:rPr>
        <w:t xml:space="preserve"> году по сравнению с плановыми показателями 202</w:t>
      </w:r>
      <w:r w:rsidR="00C7362A" w:rsidRPr="009C0B4A">
        <w:rPr>
          <w:rFonts w:ascii="Times New Roman" w:hAnsi="Times New Roman" w:cs="Times New Roman"/>
          <w:sz w:val="28"/>
          <w:szCs w:val="28"/>
        </w:rPr>
        <w:t>3</w:t>
      </w:r>
      <w:r w:rsidRPr="009C0B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0B4A" w:rsidRPr="009C0B4A">
        <w:rPr>
          <w:rFonts w:ascii="Times New Roman" w:hAnsi="Times New Roman" w:cs="Times New Roman"/>
          <w:sz w:val="28"/>
          <w:szCs w:val="28"/>
        </w:rPr>
        <w:t>увеличиваются на 19675,8 тыс. руб., или на 6</w:t>
      </w:r>
      <w:r w:rsidRPr="009C0B4A">
        <w:rPr>
          <w:rFonts w:ascii="Times New Roman" w:hAnsi="Times New Roman" w:cs="Times New Roman"/>
          <w:sz w:val="28"/>
          <w:szCs w:val="28"/>
        </w:rPr>
        <w:t xml:space="preserve">,1%. </w:t>
      </w:r>
    </w:p>
    <w:p w:rsidR="005455B9" w:rsidRPr="0067032B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2B">
        <w:rPr>
          <w:rFonts w:ascii="Times New Roman" w:hAnsi="Times New Roman" w:cs="Times New Roman"/>
          <w:sz w:val="28"/>
          <w:szCs w:val="28"/>
        </w:rPr>
        <w:lastRenderedPageBreak/>
        <w:t>Снижение общего объема доходов городского бюджета в 202</w:t>
      </w:r>
      <w:r w:rsidR="0067032B" w:rsidRPr="0067032B">
        <w:rPr>
          <w:rFonts w:ascii="Times New Roman" w:hAnsi="Times New Roman" w:cs="Times New Roman"/>
          <w:sz w:val="28"/>
          <w:szCs w:val="28"/>
        </w:rPr>
        <w:t>4</w:t>
      </w:r>
      <w:r w:rsidRPr="0067032B">
        <w:rPr>
          <w:rFonts w:ascii="Times New Roman" w:hAnsi="Times New Roman" w:cs="Times New Roman"/>
          <w:sz w:val="28"/>
          <w:szCs w:val="28"/>
        </w:rPr>
        <w:t xml:space="preserve"> году по сравнению с планом 202</w:t>
      </w:r>
      <w:r w:rsidR="0067032B" w:rsidRPr="0067032B">
        <w:rPr>
          <w:rFonts w:ascii="Times New Roman" w:hAnsi="Times New Roman" w:cs="Times New Roman"/>
          <w:sz w:val="28"/>
          <w:szCs w:val="28"/>
        </w:rPr>
        <w:t>3</w:t>
      </w:r>
      <w:r w:rsidRPr="0067032B">
        <w:rPr>
          <w:rFonts w:ascii="Times New Roman" w:hAnsi="Times New Roman" w:cs="Times New Roman"/>
          <w:sz w:val="28"/>
          <w:szCs w:val="28"/>
        </w:rPr>
        <w:t xml:space="preserve"> года обусловлено уменьшением объема безвозмездных поступлений на </w:t>
      </w:r>
      <w:r w:rsidR="0067032B">
        <w:rPr>
          <w:rFonts w:ascii="Times New Roman" w:hAnsi="Times New Roman" w:cs="Times New Roman"/>
          <w:sz w:val="28"/>
          <w:szCs w:val="28"/>
        </w:rPr>
        <w:t>27,6</w:t>
      </w:r>
      <w:r w:rsidRPr="0067032B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67032B" w:rsidRPr="0067032B">
        <w:rPr>
          <w:rFonts w:ascii="Times New Roman" w:hAnsi="Times New Roman" w:cs="Times New Roman"/>
          <w:sz w:val="28"/>
          <w:szCs w:val="28"/>
        </w:rPr>
        <w:t>341270,2 тыс.</w:t>
      </w:r>
      <w:r w:rsidRPr="006703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5E">
        <w:rPr>
          <w:rFonts w:ascii="Times New Roman" w:hAnsi="Times New Roman" w:cs="Times New Roman"/>
          <w:b/>
          <w:sz w:val="28"/>
          <w:szCs w:val="28"/>
        </w:rPr>
        <w:t>7.</w:t>
      </w:r>
      <w:r w:rsidR="00115B2A">
        <w:rPr>
          <w:rFonts w:ascii="Times New Roman" w:hAnsi="Times New Roman" w:cs="Times New Roman"/>
          <w:b/>
          <w:sz w:val="28"/>
          <w:szCs w:val="28"/>
        </w:rPr>
        <w:t>3</w:t>
      </w:r>
      <w:r w:rsidRPr="003D715E">
        <w:rPr>
          <w:rFonts w:ascii="Times New Roman" w:hAnsi="Times New Roman" w:cs="Times New Roman"/>
          <w:b/>
          <w:sz w:val="28"/>
          <w:szCs w:val="28"/>
        </w:rPr>
        <w:t>.</w:t>
      </w:r>
      <w:r w:rsidRPr="003D715E">
        <w:rPr>
          <w:rFonts w:ascii="Times New Roman" w:hAnsi="Times New Roman" w:cs="Times New Roman"/>
          <w:sz w:val="28"/>
          <w:szCs w:val="28"/>
        </w:rPr>
        <w:t xml:space="preserve"> Расходы городского бюджета на 202</w:t>
      </w:r>
      <w:r w:rsidR="00C7362A">
        <w:rPr>
          <w:rFonts w:ascii="Times New Roman" w:hAnsi="Times New Roman" w:cs="Times New Roman"/>
          <w:sz w:val="28"/>
          <w:szCs w:val="28"/>
        </w:rPr>
        <w:t>4</w:t>
      </w:r>
      <w:r w:rsidRPr="003D715E">
        <w:rPr>
          <w:rFonts w:ascii="Times New Roman" w:hAnsi="Times New Roman" w:cs="Times New Roman"/>
          <w:sz w:val="28"/>
          <w:szCs w:val="28"/>
        </w:rPr>
        <w:t xml:space="preserve"> год </w:t>
      </w:r>
      <w:r w:rsidR="00C7362A">
        <w:rPr>
          <w:rFonts w:ascii="Times New Roman" w:hAnsi="Times New Roman" w:cs="Times New Roman"/>
          <w:sz w:val="28"/>
          <w:szCs w:val="28"/>
        </w:rPr>
        <w:t>предусмотрены</w:t>
      </w:r>
      <w:r w:rsidRPr="003D715E">
        <w:rPr>
          <w:rFonts w:ascii="Times New Roman" w:hAnsi="Times New Roman" w:cs="Times New Roman"/>
          <w:sz w:val="28"/>
          <w:szCs w:val="28"/>
        </w:rPr>
        <w:t xml:space="preserve"> в </w:t>
      </w:r>
      <w:r w:rsidR="00C7362A">
        <w:rPr>
          <w:rFonts w:ascii="Times New Roman" w:hAnsi="Times New Roman" w:cs="Times New Roman"/>
          <w:sz w:val="28"/>
          <w:szCs w:val="28"/>
        </w:rPr>
        <w:t>объеме</w:t>
      </w:r>
      <w:r w:rsidRPr="003D715E">
        <w:rPr>
          <w:rFonts w:ascii="Times New Roman" w:hAnsi="Times New Roman" w:cs="Times New Roman"/>
          <w:sz w:val="28"/>
          <w:szCs w:val="28"/>
        </w:rPr>
        <w:t xml:space="preserve"> </w:t>
      </w:r>
      <w:r w:rsidR="00C7362A">
        <w:rPr>
          <w:rFonts w:ascii="Times New Roman" w:hAnsi="Times New Roman" w:cs="Times New Roman"/>
          <w:sz w:val="28"/>
          <w:szCs w:val="28"/>
        </w:rPr>
        <w:t>848</w:t>
      </w:r>
      <w:r w:rsidR="00F24FBB">
        <w:rPr>
          <w:rFonts w:ascii="Times New Roman" w:hAnsi="Times New Roman" w:cs="Times New Roman"/>
          <w:sz w:val="28"/>
          <w:szCs w:val="28"/>
        </w:rPr>
        <w:t>638,6</w:t>
      </w:r>
      <w:r w:rsidRPr="003D71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расходы в 202</w:t>
      </w:r>
      <w:r w:rsidR="00F24F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запланированы с учетом необходимости сохранения действующей сети муниципальных учреждений, реализации инфраструктурных проектов, обеспечения в полном объеме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средствам областного бюджета, снижения уровня долговой нагрузки городского бюджета и выполнения условий предоставления бюджетн</w:t>
      </w:r>
      <w:r w:rsidR="00FF0E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F0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5B9" w:rsidRPr="00F24FBB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BB">
        <w:rPr>
          <w:rFonts w:ascii="Times New Roman" w:hAnsi="Times New Roman" w:cs="Times New Roman"/>
          <w:sz w:val="28"/>
          <w:szCs w:val="28"/>
        </w:rPr>
        <w:t>Вместе с тем формирование расходной части городского бюджета на 202</w:t>
      </w:r>
      <w:r w:rsidR="00F24FBB" w:rsidRPr="00F24FBB">
        <w:rPr>
          <w:rFonts w:ascii="Times New Roman" w:hAnsi="Times New Roman" w:cs="Times New Roman"/>
          <w:sz w:val="28"/>
          <w:szCs w:val="28"/>
        </w:rPr>
        <w:t>4</w:t>
      </w:r>
      <w:r w:rsidRPr="00F24FBB">
        <w:rPr>
          <w:rFonts w:ascii="Times New Roman" w:hAnsi="Times New Roman" w:cs="Times New Roman"/>
          <w:sz w:val="28"/>
          <w:szCs w:val="28"/>
        </w:rPr>
        <w:t xml:space="preserve"> год по отдельным направлениям осуществл</w:t>
      </w:r>
      <w:r w:rsidR="003C432C">
        <w:rPr>
          <w:rFonts w:ascii="Times New Roman" w:hAnsi="Times New Roman" w:cs="Times New Roman"/>
          <w:sz w:val="28"/>
          <w:szCs w:val="28"/>
        </w:rPr>
        <w:t>ялось на уровне плановых значений 2023 года (на 01.09.2023) без учета инфляции и индексации расходов.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Pr="00965F7F" w:rsidRDefault="00115B2A" w:rsidP="00545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7.4</w:t>
      </w:r>
      <w:r w:rsidR="005455B9" w:rsidRPr="00965F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>Городской бюджет на 202</w:t>
      </w:r>
      <w:r w:rsidR="00F24FBB">
        <w:rPr>
          <w:rFonts w:ascii="Times New Roman" w:eastAsia="Calibri" w:hAnsi="Times New Roman" w:cs="Times New Roman"/>
          <w:sz w:val="28"/>
          <w:szCs w:val="28"/>
        </w:rPr>
        <w:t>4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 xml:space="preserve"> год сформирован с учетом необходимости реализации национальных проектов в соответствии с Указ</w:t>
      </w:r>
      <w:r w:rsidR="00F24FBB">
        <w:rPr>
          <w:rFonts w:ascii="Times New Roman" w:eastAsia="Calibri" w:hAnsi="Times New Roman" w:cs="Times New Roman"/>
          <w:sz w:val="28"/>
          <w:szCs w:val="28"/>
        </w:rPr>
        <w:t>ами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5B9"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>Президента РФ</w:t>
      </w:r>
      <w:r w:rsidR="00F24FB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от 07.05.2015</w:t>
      </w:r>
      <w:r w:rsidR="005455B9"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="005455B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от 21.07.2020 № 474 «О национальных целях развития Российской Федерации на период до 2030 года».</w:t>
      </w:r>
    </w:p>
    <w:p w:rsidR="00AA4E9E" w:rsidRDefault="005455B9" w:rsidP="00AA4E9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Проектом решения предусмотрены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б</w:t>
      </w: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юджетные ассигнования </w:t>
      </w:r>
      <w:r w:rsidR="00AA4E9E" w:rsidRPr="003C4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14051,9 тыс. руб.</w:t>
      </w:r>
      <w:r w:rsidR="00AA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реализацию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>202</w:t>
      </w:r>
      <w:r w:rsidR="00F24FBB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</w:t>
      </w:r>
      <w:r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A4E9E">
        <w:rPr>
          <w:rFonts w:ascii="Times New Roman" w:eastAsia="Calibri" w:hAnsi="Times New Roman" w:cs="Times New Roman"/>
          <w:sz w:val="28"/>
          <w:szCs w:val="28"/>
          <w:lang w:bidi="en-US"/>
        </w:rPr>
        <w:t>мероприятий в рамках двух</w:t>
      </w:r>
      <w:r w:rsidR="00621EB8" w:rsidRPr="003C4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национальн</w:t>
      </w:r>
      <w:r w:rsidR="003C432C" w:rsidRPr="003C4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ых </w:t>
      </w:r>
      <w:r w:rsidR="00621EB8" w:rsidRPr="003C432C">
        <w:rPr>
          <w:rFonts w:ascii="Times New Roman" w:eastAsia="Calibri" w:hAnsi="Times New Roman" w:cs="Times New Roman"/>
          <w:sz w:val="28"/>
          <w:szCs w:val="28"/>
          <w:lang w:bidi="en-US"/>
        </w:rPr>
        <w:t>проект</w:t>
      </w:r>
      <w:r w:rsidR="003C432C" w:rsidRPr="003C432C">
        <w:rPr>
          <w:rFonts w:ascii="Times New Roman" w:eastAsia="Calibri" w:hAnsi="Times New Roman" w:cs="Times New Roman"/>
          <w:sz w:val="28"/>
          <w:szCs w:val="28"/>
          <w:lang w:bidi="en-US"/>
        </w:rPr>
        <w:t>ов</w:t>
      </w:r>
      <w:r w:rsidR="00AA4E9E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455B9" w:rsidRPr="00F24FBB" w:rsidRDefault="00621EB8" w:rsidP="00AA4E9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5455B9" w:rsidRDefault="00115B2A" w:rsidP="0054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</w:t>
      </w:r>
      <w:r w:rsidR="005455B9" w:rsidRPr="00F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55B9" w:rsidRPr="00666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городского бюджета на оказание мер социальной поддержки отдельным категориям</w:t>
      </w:r>
      <w:r w:rsidR="005455B9" w:rsidRPr="0037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C4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5455B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C432C">
        <w:rPr>
          <w:rFonts w:ascii="Times New Roman" w:eastAsia="Times New Roman" w:hAnsi="Times New Roman"/>
          <w:sz w:val="28"/>
          <w:szCs w:val="28"/>
          <w:lang w:eastAsia="ru-RU"/>
        </w:rPr>
        <w:t>524,0</w:t>
      </w:r>
      <w:r w:rsidR="005455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субсидий некоммерческим организациям, не являющимися муниципальными учреждениями, в 2023 году предусмотрены средства в сумме 2</w:t>
      </w:r>
      <w:r w:rsidR="0077590C">
        <w:rPr>
          <w:rFonts w:ascii="Times New Roman" w:eastAsia="Times New Roman" w:hAnsi="Times New Roman"/>
          <w:sz w:val="28"/>
          <w:szCs w:val="28"/>
          <w:lang w:eastAsia="ru-RU"/>
        </w:rPr>
        <w:t>238,8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B32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4E9E" w:rsidRPr="002C1BDB" w:rsidRDefault="00AA4E9E" w:rsidP="0054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9" w:rsidRDefault="00115B2A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</w:t>
      </w:r>
      <w:r w:rsidR="005455B9" w:rsidRPr="0068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55B9" w:rsidRPr="0001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городского бюджета на трехлетний период сформирована с учетом реализации 14 муниципальных программ. В 202</w:t>
      </w:r>
      <w:r w:rsidR="007759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муниципальных программ запланированы расходы в сумме </w:t>
      </w:r>
      <w:r w:rsidR="00FF0E80">
        <w:rPr>
          <w:rFonts w:ascii="Times New Roman" w:eastAsia="Times New Roman" w:hAnsi="Times New Roman" w:cs="Times New Roman"/>
          <w:sz w:val="28"/>
          <w:szCs w:val="28"/>
          <w:lang w:eastAsia="ru-RU"/>
        </w:rPr>
        <w:t>847153,2 тыс. руб</w:t>
      </w:r>
      <w:r w:rsidR="00FF0E80" w:rsidRPr="00FF0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455B9">
        <w:rPr>
          <w:rFonts w:ascii="Times New Roman" w:eastAsia="Calibri" w:hAnsi="Times New Roman" w:cs="Times New Roman"/>
          <w:sz w:val="28"/>
          <w:szCs w:val="28"/>
        </w:rPr>
        <w:t xml:space="preserve"> Финансирование МП «</w:t>
      </w:r>
      <w:r w:rsidR="005455B9" w:rsidRPr="0070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="005455B9">
        <w:rPr>
          <w:rFonts w:ascii="Times New Roman" w:eastAsia="Calibri" w:hAnsi="Times New Roman" w:cs="Times New Roman"/>
          <w:sz w:val="28"/>
          <w:szCs w:val="28"/>
        </w:rPr>
        <w:t>» проектом бюджета</w:t>
      </w:r>
      <w:r w:rsidR="0077590C">
        <w:rPr>
          <w:rFonts w:ascii="Times New Roman" w:eastAsia="Calibri" w:hAnsi="Times New Roman" w:cs="Times New Roman"/>
          <w:sz w:val="28"/>
          <w:szCs w:val="28"/>
        </w:rPr>
        <w:t>, как и в предыдущие годы, не предусмотрено</w:t>
      </w:r>
      <w:r w:rsidR="00545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5B9" w:rsidRPr="00731158" w:rsidRDefault="005455B9" w:rsidP="002C1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9" w:rsidRPr="00203B2C" w:rsidRDefault="00115B2A" w:rsidP="002C1B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7.7</w:t>
      </w:r>
      <w:r w:rsidR="005455B9" w:rsidRPr="0068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бюджет н</w:t>
      </w:r>
      <w:r w:rsidR="005455B9" w:rsidRPr="0067387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5B9" w:rsidRPr="0067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спланирован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в сумме 5000,0 тыс. руб. и с </w:t>
      </w:r>
      <w:proofErr w:type="spellStart"/>
      <w:r w:rsidR="00140A9C">
        <w:rPr>
          <w:rFonts w:ascii="Times New Roman" w:hAnsi="Times New Roman" w:cs="Times New Roman"/>
          <w:sz w:val="28"/>
          <w:szCs w:val="28"/>
        </w:rPr>
        <w:t>п</w:t>
      </w:r>
      <w:r w:rsidR="00140A9C">
        <w:rPr>
          <w:rFonts w:ascii="Times New Roman" w:eastAsia="Calibri" w:hAnsi="Times New Roman" w:cs="Times New Roman"/>
          <w:sz w:val="28"/>
          <w:szCs w:val="28"/>
        </w:rPr>
        <w:t>рофицитом</w:t>
      </w:r>
      <w:proofErr w:type="spellEnd"/>
      <w:r w:rsidR="00140A9C">
        <w:rPr>
          <w:rFonts w:ascii="Times New Roman" w:eastAsia="Calibri" w:hAnsi="Times New Roman" w:cs="Times New Roman"/>
          <w:sz w:val="28"/>
          <w:szCs w:val="28"/>
        </w:rPr>
        <w:t xml:space="preserve"> на среднесрочную перспективу в 2025-2026 годах в объеме 5048,3 тыс. руб. ежегодно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A9C" w:rsidRPr="00420ECD" w:rsidRDefault="005455B9" w:rsidP="00140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долг по итогам 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 01.01.202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прогнозируется в объеме 1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58735,6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снижение объема муниципального долга до 1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53687,3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40A9C"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01.01.202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 1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39,0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01.01.202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F54B59" w:rsidRDefault="005455B9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в 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муниципального долга прогнозируется снижение доли бюджетных кредитов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0F3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кредитов кредитных организаций (до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повлечет увеличение расходов на обслуживание муниципального долга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F60B6C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долга в 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прогнозируются в объеме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300,0 тыс. руб.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1700,0 тыс. руб. больше уточненного плана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(3600,0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79F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5455B9" w:rsidRPr="00254866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9" w:rsidRDefault="005455B9" w:rsidP="00621EB8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6C">
        <w:rPr>
          <w:rFonts w:ascii="Times New Roman" w:eastAsia="Calibri" w:hAnsi="Times New Roman" w:cs="Times New Roman"/>
          <w:sz w:val="28"/>
          <w:szCs w:val="28"/>
          <w:lang w:bidi="en-US"/>
        </w:rPr>
        <w:t>По итогам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экспертизы проекта решения контрольно-с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четная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комиссия считает возможным 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proofErr w:type="spellStart"/>
      <w:r w:rsidRPr="007637C2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«О бюджете муниципального образования городского округа город Вятские Поляны Кировской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0A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0A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0A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5455B9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55B9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A9C" w:rsidRPr="007637C2" w:rsidRDefault="00140A9C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55B9" w:rsidRDefault="005455B9" w:rsidP="005455B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</w:t>
      </w:r>
    </w:p>
    <w:p w:rsidR="005455B9" w:rsidRPr="005704C0" w:rsidRDefault="005455B9" w:rsidP="005455B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счетной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комиссии города Вятские Поляны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 Л.Г.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Партола</w:t>
      </w:r>
      <w:proofErr w:type="spellEnd"/>
    </w:p>
    <w:p w:rsidR="005455B9" w:rsidRPr="005704C0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55B9" w:rsidRPr="005704C0" w:rsidSect="006815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1C" w:rsidRDefault="0044241C" w:rsidP="00681545">
      <w:pPr>
        <w:spacing w:after="0" w:line="240" w:lineRule="auto"/>
      </w:pPr>
      <w:r>
        <w:separator/>
      </w:r>
    </w:p>
  </w:endnote>
  <w:endnote w:type="continuationSeparator" w:id="0">
    <w:p w:rsidR="0044241C" w:rsidRDefault="0044241C" w:rsidP="006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1C" w:rsidRDefault="0044241C" w:rsidP="00681545">
      <w:pPr>
        <w:spacing w:after="0" w:line="240" w:lineRule="auto"/>
      </w:pPr>
      <w:r>
        <w:separator/>
      </w:r>
    </w:p>
  </w:footnote>
  <w:footnote w:type="continuationSeparator" w:id="0">
    <w:p w:rsidR="0044241C" w:rsidRDefault="0044241C" w:rsidP="0068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941834"/>
      <w:docPartObj>
        <w:docPartGallery w:val="Page Numbers (Top of Page)"/>
        <w:docPartUnique/>
      </w:docPartObj>
    </w:sdtPr>
    <w:sdtContent>
      <w:p w:rsidR="00070452" w:rsidRDefault="00070452">
        <w:pPr>
          <w:pStyle w:val="a5"/>
          <w:jc w:val="center"/>
        </w:pPr>
        <w:fldSimple w:instr="PAGE   \* MERGEFORMAT">
          <w:r w:rsidR="00AA4E9E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123255"/>
    <w:multiLevelType w:val="hybridMultilevel"/>
    <w:tmpl w:val="A4803BEA"/>
    <w:lvl w:ilvl="0" w:tplc="606C84D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F2E3601"/>
    <w:multiLevelType w:val="hybridMultilevel"/>
    <w:tmpl w:val="C92AC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73BE"/>
    <w:multiLevelType w:val="hybridMultilevel"/>
    <w:tmpl w:val="B0845EB6"/>
    <w:lvl w:ilvl="0" w:tplc="E81C15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933D39"/>
    <w:multiLevelType w:val="hybridMultilevel"/>
    <w:tmpl w:val="FD20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5DA265B1"/>
    <w:multiLevelType w:val="hybridMultilevel"/>
    <w:tmpl w:val="97D65842"/>
    <w:lvl w:ilvl="0" w:tplc="D660BDB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5"/>
  </w:num>
  <w:num w:numId="5">
    <w:abstractNumId w:val="12"/>
  </w:num>
  <w:num w:numId="6">
    <w:abstractNumId w:val="13"/>
  </w:num>
  <w:num w:numId="7">
    <w:abstractNumId w:val="25"/>
  </w:num>
  <w:num w:numId="8">
    <w:abstractNumId w:val="0"/>
  </w:num>
  <w:num w:numId="9">
    <w:abstractNumId w:val="23"/>
  </w:num>
  <w:num w:numId="10">
    <w:abstractNumId w:val="4"/>
  </w:num>
  <w:num w:numId="11">
    <w:abstractNumId w:val="8"/>
  </w:num>
  <w:num w:numId="12">
    <w:abstractNumId w:val="21"/>
  </w:num>
  <w:num w:numId="13">
    <w:abstractNumId w:val="20"/>
  </w:num>
  <w:num w:numId="14">
    <w:abstractNumId w:val="24"/>
  </w:num>
  <w:num w:numId="15">
    <w:abstractNumId w:val="2"/>
  </w:num>
  <w:num w:numId="16">
    <w:abstractNumId w:val="16"/>
  </w:num>
  <w:num w:numId="17">
    <w:abstractNumId w:val="3"/>
  </w:num>
  <w:num w:numId="18">
    <w:abstractNumId w:val="18"/>
  </w:num>
  <w:num w:numId="19">
    <w:abstractNumId w:val="6"/>
  </w:num>
  <w:num w:numId="20">
    <w:abstractNumId w:val="19"/>
  </w:num>
  <w:num w:numId="21">
    <w:abstractNumId w:val="22"/>
  </w:num>
  <w:num w:numId="22">
    <w:abstractNumId w:val="11"/>
  </w:num>
  <w:num w:numId="23">
    <w:abstractNumId w:val="10"/>
  </w:num>
  <w:num w:numId="24">
    <w:abstractNumId w:val="9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D19"/>
    <w:rsid w:val="0000344E"/>
    <w:rsid w:val="00006F94"/>
    <w:rsid w:val="0000797B"/>
    <w:rsid w:val="00010B7B"/>
    <w:rsid w:val="00012D1B"/>
    <w:rsid w:val="0001493E"/>
    <w:rsid w:val="00015316"/>
    <w:rsid w:val="00020124"/>
    <w:rsid w:val="00020576"/>
    <w:rsid w:val="00021120"/>
    <w:rsid w:val="0003019E"/>
    <w:rsid w:val="00031283"/>
    <w:rsid w:val="00033005"/>
    <w:rsid w:val="00037EC4"/>
    <w:rsid w:val="00041722"/>
    <w:rsid w:val="00041D0B"/>
    <w:rsid w:val="000422A3"/>
    <w:rsid w:val="00042488"/>
    <w:rsid w:val="000453CD"/>
    <w:rsid w:val="00046421"/>
    <w:rsid w:val="000467A5"/>
    <w:rsid w:val="00050FC1"/>
    <w:rsid w:val="0005135E"/>
    <w:rsid w:val="00051AEC"/>
    <w:rsid w:val="0006040E"/>
    <w:rsid w:val="000673DE"/>
    <w:rsid w:val="00070452"/>
    <w:rsid w:val="0007129C"/>
    <w:rsid w:val="00072999"/>
    <w:rsid w:val="00073D6F"/>
    <w:rsid w:val="00076C58"/>
    <w:rsid w:val="0008178C"/>
    <w:rsid w:val="000834FC"/>
    <w:rsid w:val="0008543B"/>
    <w:rsid w:val="00093315"/>
    <w:rsid w:val="000935A9"/>
    <w:rsid w:val="000956A7"/>
    <w:rsid w:val="00097DD3"/>
    <w:rsid w:val="000A2A51"/>
    <w:rsid w:val="000A2C49"/>
    <w:rsid w:val="000A33F0"/>
    <w:rsid w:val="000A43B6"/>
    <w:rsid w:val="000A4426"/>
    <w:rsid w:val="000A514C"/>
    <w:rsid w:val="000A5EDF"/>
    <w:rsid w:val="000B12D1"/>
    <w:rsid w:val="000B2716"/>
    <w:rsid w:val="000B3C3B"/>
    <w:rsid w:val="000B4E0F"/>
    <w:rsid w:val="000B6780"/>
    <w:rsid w:val="000B759F"/>
    <w:rsid w:val="000C064E"/>
    <w:rsid w:val="000C2D38"/>
    <w:rsid w:val="000C3EC1"/>
    <w:rsid w:val="000C40E5"/>
    <w:rsid w:val="000C5A63"/>
    <w:rsid w:val="000D4E19"/>
    <w:rsid w:val="000E2839"/>
    <w:rsid w:val="000E749E"/>
    <w:rsid w:val="000F11FC"/>
    <w:rsid w:val="000F19F3"/>
    <w:rsid w:val="000F2ADD"/>
    <w:rsid w:val="000F3795"/>
    <w:rsid w:val="000F434C"/>
    <w:rsid w:val="000F7D1A"/>
    <w:rsid w:val="0010257A"/>
    <w:rsid w:val="00103B9A"/>
    <w:rsid w:val="0010696F"/>
    <w:rsid w:val="001103A1"/>
    <w:rsid w:val="00115B2A"/>
    <w:rsid w:val="00120748"/>
    <w:rsid w:val="0012287A"/>
    <w:rsid w:val="00122D99"/>
    <w:rsid w:val="0012310C"/>
    <w:rsid w:val="00123F86"/>
    <w:rsid w:val="00124C3D"/>
    <w:rsid w:val="001252AB"/>
    <w:rsid w:val="001264A6"/>
    <w:rsid w:val="00133661"/>
    <w:rsid w:val="00140A9C"/>
    <w:rsid w:val="00145CB9"/>
    <w:rsid w:val="00151DDA"/>
    <w:rsid w:val="001521EE"/>
    <w:rsid w:val="00157DEE"/>
    <w:rsid w:val="00165970"/>
    <w:rsid w:val="00167BD2"/>
    <w:rsid w:val="00170642"/>
    <w:rsid w:val="00170A8C"/>
    <w:rsid w:val="00172ACB"/>
    <w:rsid w:val="00174C7F"/>
    <w:rsid w:val="001766E6"/>
    <w:rsid w:val="00181A9C"/>
    <w:rsid w:val="00184DE5"/>
    <w:rsid w:val="00195AF8"/>
    <w:rsid w:val="001A06BA"/>
    <w:rsid w:val="001A0B30"/>
    <w:rsid w:val="001A2120"/>
    <w:rsid w:val="001A5795"/>
    <w:rsid w:val="001A6FAE"/>
    <w:rsid w:val="001B4009"/>
    <w:rsid w:val="001B7BB9"/>
    <w:rsid w:val="001C0AAF"/>
    <w:rsid w:val="001C1FF6"/>
    <w:rsid w:val="001D0314"/>
    <w:rsid w:val="001D360D"/>
    <w:rsid w:val="001D3BDD"/>
    <w:rsid w:val="001D7C88"/>
    <w:rsid w:val="001E2222"/>
    <w:rsid w:val="001E285E"/>
    <w:rsid w:val="001E4FE7"/>
    <w:rsid w:val="001E5F8B"/>
    <w:rsid w:val="001E71E6"/>
    <w:rsid w:val="001E7505"/>
    <w:rsid w:val="001E76C1"/>
    <w:rsid w:val="001F0E92"/>
    <w:rsid w:val="001F4FAE"/>
    <w:rsid w:val="001F52CB"/>
    <w:rsid w:val="001F653B"/>
    <w:rsid w:val="00200CF7"/>
    <w:rsid w:val="00200FD2"/>
    <w:rsid w:val="00201E99"/>
    <w:rsid w:val="002116B3"/>
    <w:rsid w:val="002139BC"/>
    <w:rsid w:val="00213B05"/>
    <w:rsid w:val="00213F2E"/>
    <w:rsid w:val="00214EBF"/>
    <w:rsid w:val="00215C92"/>
    <w:rsid w:val="002164B0"/>
    <w:rsid w:val="00220BA7"/>
    <w:rsid w:val="0022552B"/>
    <w:rsid w:val="00231A60"/>
    <w:rsid w:val="002332D1"/>
    <w:rsid w:val="0023347A"/>
    <w:rsid w:val="0023582F"/>
    <w:rsid w:val="002359B8"/>
    <w:rsid w:val="002425F8"/>
    <w:rsid w:val="00245ACF"/>
    <w:rsid w:val="0024640F"/>
    <w:rsid w:val="002468F5"/>
    <w:rsid w:val="0025294F"/>
    <w:rsid w:val="00252FDC"/>
    <w:rsid w:val="00254866"/>
    <w:rsid w:val="002548C3"/>
    <w:rsid w:val="00257B2A"/>
    <w:rsid w:val="00257D61"/>
    <w:rsid w:val="002616ED"/>
    <w:rsid w:val="00262EBC"/>
    <w:rsid w:val="002630DD"/>
    <w:rsid w:val="00263F7A"/>
    <w:rsid w:val="00274ED0"/>
    <w:rsid w:val="00275BD5"/>
    <w:rsid w:val="0028002C"/>
    <w:rsid w:val="00280133"/>
    <w:rsid w:val="00280167"/>
    <w:rsid w:val="002814EA"/>
    <w:rsid w:val="0028256E"/>
    <w:rsid w:val="002827BB"/>
    <w:rsid w:val="002877EB"/>
    <w:rsid w:val="00287A67"/>
    <w:rsid w:val="002904E1"/>
    <w:rsid w:val="00290831"/>
    <w:rsid w:val="0029186D"/>
    <w:rsid w:val="00291D5C"/>
    <w:rsid w:val="00292DD9"/>
    <w:rsid w:val="0029645B"/>
    <w:rsid w:val="00297229"/>
    <w:rsid w:val="00297F92"/>
    <w:rsid w:val="002A37F8"/>
    <w:rsid w:val="002A6794"/>
    <w:rsid w:val="002A6AC5"/>
    <w:rsid w:val="002B0082"/>
    <w:rsid w:val="002B060B"/>
    <w:rsid w:val="002B168F"/>
    <w:rsid w:val="002B184A"/>
    <w:rsid w:val="002B77E3"/>
    <w:rsid w:val="002C139F"/>
    <w:rsid w:val="002C1BDB"/>
    <w:rsid w:val="002C3191"/>
    <w:rsid w:val="002D0398"/>
    <w:rsid w:val="002D448C"/>
    <w:rsid w:val="002D4964"/>
    <w:rsid w:val="002D63A6"/>
    <w:rsid w:val="002E173E"/>
    <w:rsid w:val="002E4BD5"/>
    <w:rsid w:val="002F0A32"/>
    <w:rsid w:val="002F1A5A"/>
    <w:rsid w:val="002F3DE6"/>
    <w:rsid w:val="002F59CD"/>
    <w:rsid w:val="0030179D"/>
    <w:rsid w:val="00304E1E"/>
    <w:rsid w:val="003079A8"/>
    <w:rsid w:val="003107C5"/>
    <w:rsid w:val="00314A8A"/>
    <w:rsid w:val="00317749"/>
    <w:rsid w:val="00321137"/>
    <w:rsid w:val="003272C3"/>
    <w:rsid w:val="00327501"/>
    <w:rsid w:val="00335D8E"/>
    <w:rsid w:val="0033737D"/>
    <w:rsid w:val="00337602"/>
    <w:rsid w:val="00340857"/>
    <w:rsid w:val="00340A8B"/>
    <w:rsid w:val="003411D6"/>
    <w:rsid w:val="003450F2"/>
    <w:rsid w:val="00346AFF"/>
    <w:rsid w:val="0034768C"/>
    <w:rsid w:val="00350E0F"/>
    <w:rsid w:val="00351FB6"/>
    <w:rsid w:val="0035422B"/>
    <w:rsid w:val="00354C3D"/>
    <w:rsid w:val="00355F2B"/>
    <w:rsid w:val="003616CF"/>
    <w:rsid w:val="003625A3"/>
    <w:rsid w:val="00364EE4"/>
    <w:rsid w:val="00365EFA"/>
    <w:rsid w:val="00367D50"/>
    <w:rsid w:val="00367DBF"/>
    <w:rsid w:val="00372D7C"/>
    <w:rsid w:val="00375265"/>
    <w:rsid w:val="003752BA"/>
    <w:rsid w:val="00376D09"/>
    <w:rsid w:val="00377AA1"/>
    <w:rsid w:val="00381954"/>
    <w:rsid w:val="003859D4"/>
    <w:rsid w:val="00386966"/>
    <w:rsid w:val="00386CC0"/>
    <w:rsid w:val="003946EC"/>
    <w:rsid w:val="00397009"/>
    <w:rsid w:val="003A01E6"/>
    <w:rsid w:val="003A61E4"/>
    <w:rsid w:val="003A6422"/>
    <w:rsid w:val="003B0DD6"/>
    <w:rsid w:val="003B189C"/>
    <w:rsid w:val="003B1BD2"/>
    <w:rsid w:val="003B29FC"/>
    <w:rsid w:val="003B5A4C"/>
    <w:rsid w:val="003B6EB7"/>
    <w:rsid w:val="003C010D"/>
    <w:rsid w:val="003C432C"/>
    <w:rsid w:val="003C4EE0"/>
    <w:rsid w:val="003D022F"/>
    <w:rsid w:val="003D20A7"/>
    <w:rsid w:val="003D732B"/>
    <w:rsid w:val="003D7381"/>
    <w:rsid w:val="003E1F71"/>
    <w:rsid w:val="003E242D"/>
    <w:rsid w:val="003E475E"/>
    <w:rsid w:val="003E5560"/>
    <w:rsid w:val="003E6AB8"/>
    <w:rsid w:val="003E79E4"/>
    <w:rsid w:val="003F1DAE"/>
    <w:rsid w:val="003F1F68"/>
    <w:rsid w:val="003F599D"/>
    <w:rsid w:val="00400F73"/>
    <w:rsid w:val="00402551"/>
    <w:rsid w:val="004037B0"/>
    <w:rsid w:val="00415676"/>
    <w:rsid w:val="00416441"/>
    <w:rsid w:val="00421089"/>
    <w:rsid w:val="004225E3"/>
    <w:rsid w:val="00422ED8"/>
    <w:rsid w:val="00423445"/>
    <w:rsid w:val="00423D5E"/>
    <w:rsid w:val="0043254D"/>
    <w:rsid w:val="00433979"/>
    <w:rsid w:val="00434BF2"/>
    <w:rsid w:val="004376D3"/>
    <w:rsid w:val="0044241C"/>
    <w:rsid w:val="00444031"/>
    <w:rsid w:val="004440EB"/>
    <w:rsid w:val="00445557"/>
    <w:rsid w:val="004473EC"/>
    <w:rsid w:val="004477FD"/>
    <w:rsid w:val="00447E5A"/>
    <w:rsid w:val="004567D0"/>
    <w:rsid w:val="004624D2"/>
    <w:rsid w:val="004652CA"/>
    <w:rsid w:val="00465E44"/>
    <w:rsid w:val="0046658D"/>
    <w:rsid w:val="0046687C"/>
    <w:rsid w:val="004725B5"/>
    <w:rsid w:val="004734C8"/>
    <w:rsid w:val="004736B0"/>
    <w:rsid w:val="0048535B"/>
    <w:rsid w:val="004866F1"/>
    <w:rsid w:val="00493862"/>
    <w:rsid w:val="004A09BB"/>
    <w:rsid w:val="004A44D4"/>
    <w:rsid w:val="004A4CA1"/>
    <w:rsid w:val="004B43A3"/>
    <w:rsid w:val="004B7237"/>
    <w:rsid w:val="004C1B95"/>
    <w:rsid w:val="004C44C5"/>
    <w:rsid w:val="004C513C"/>
    <w:rsid w:val="004D0730"/>
    <w:rsid w:val="004D12DB"/>
    <w:rsid w:val="004D2AEB"/>
    <w:rsid w:val="004D4B2E"/>
    <w:rsid w:val="004D5F2F"/>
    <w:rsid w:val="004E1A5D"/>
    <w:rsid w:val="004F375E"/>
    <w:rsid w:val="004F3A63"/>
    <w:rsid w:val="004F510D"/>
    <w:rsid w:val="004F6AE0"/>
    <w:rsid w:val="004F74B9"/>
    <w:rsid w:val="004F78D7"/>
    <w:rsid w:val="004F7B29"/>
    <w:rsid w:val="00500A67"/>
    <w:rsid w:val="0050651C"/>
    <w:rsid w:val="00506647"/>
    <w:rsid w:val="00512D5E"/>
    <w:rsid w:val="005137AD"/>
    <w:rsid w:val="005150F6"/>
    <w:rsid w:val="005155C0"/>
    <w:rsid w:val="005163AA"/>
    <w:rsid w:val="00517C25"/>
    <w:rsid w:val="00523954"/>
    <w:rsid w:val="00526DBA"/>
    <w:rsid w:val="00530084"/>
    <w:rsid w:val="00532FF7"/>
    <w:rsid w:val="00536FD7"/>
    <w:rsid w:val="005422EC"/>
    <w:rsid w:val="00542B3F"/>
    <w:rsid w:val="0054543E"/>
    <w:rsid w:val="005455B9"/>
    <w:rsid w:val="00551488"/>
    <w:rsid w:val="00554847"/>
    <w:rsid w:val="0055629E"/>
    <w:rsid w:val="00556542"/>
    <w:rsid w:val="00560BE4"/>
    <w:rsid w:val="005611C9"/>
    <w:rsid w:val="00561F6D"/>
    <w:rsid w:val="0056293F"/>
    <w:rsid w:val="00565584"/>
    <w:rsid w:val="005657B7"/>
    <w:rsid w:val="005704C0"/>
    <w:rsid w:val="00572940"/>
    <w:rsid w:val="00575278"/>
    <w:rsid w:val="00576243"/>
    <w:rsid w:val="00580857"/>
    <w:rsid w:val="0058308C"/>
    <w:rsid w:val="005917D7"/>
    <w:rsid w:val="00592070"/>
    <w:rsid w:val="00593AEC"/>
    <w:rsid w:val="00593D27"/>
    <w:rsid w:val="0059477B"/>
    <w:rsid w:val="00595AEC"/>
    <w:rsid w:val="005A132C"/>
    <w:rsid w:val="005A28FE"/>
    <w:rsid w:val="005A2A51"/>
    <w:rsid w:val="005A4894"/>
    <w:rsid w:val="005A53C5"/>
    <w:rsid w:val="005A569B"/>
    <w:rsid w:val="005A795A"/>
    <w:rsid w:val="005B0316"/>
    <w:rsid w:val="005B2AE4"/>
    <w:rsid w:val="005B30A4"/>
    <w:rsid w:val="005B35A0"/>
    <w:rsid w:val="005B3A8B"/>
    <w:rsid w:val="005B494D"/>
    <w:rsid w:val="005B5576"/>
    <w:rsid w:val="005B55D1"/>
    <w:rsid w:val="005B639B"/>
    <w:rsid w:val="005B7B72"/>
    <w:rsid w:val="005C22E3"/>
    <w:rsid w:val="005C7063"/>
    <w:rsid w:val="005C7EF0"/>
    <w:rsid w:val="005D0473"/>
    <w:rsid w:val="005D4F28"/>
    <w:rsid w:val="005D6A72"/>
    <w:rsid w:val="005D6C34"/>
    <w:rsid w:val="005E0DF8"/>
    <w:rsid w:val="005E264D"/>
    <w:rsid w:val="005E26FC"/>
    <w:rsid w:val="005E2B41"/>
    <w:rsid w:val="005E6EEE"/>
    <w:rsid w:val="006004BA"/>
    <w:rsid w:val="0060203D"/>
    <w:rsid w:val="0060401C"/>
    <w:rsid w:val="00606621"/>
    <w:rsid w:val="00610DB2"/>
    <w:rsid w:val="00613CF1"/>
    <w:rsid w:val="00617C3D"/>
    <w:rsid w:val="006207B1"/>
    <w:rsid w:val="00621320"/>
    <w:rsid w:val="0062159F"/>
    <w:rsid w:val="00621EB8"/>
    <w:rsid w:val="00623D19"/>
    <w:rsid w:val="00625F40"/>
    <w:rsid w:val="006312F1"/>
    <w:rsid w:val="00632A2C"/>
    <w:rsid w:val="00634E00"/>
    <w:rsid w:val="006353AB"/>
    <w:rsid w:val="00635B55"/>
    <w:rsid w:val="00641070"/>
    <w:rsid w:val="00641967"/>
    <w:rsid w:val="0064268D"/>
    <w:rsid w:val="00642745"/>
    <w:rsid w:val="0064514D"/>
    <w:rsid w:val="006569F7"/>
    <w:rsid w:val="00656EDC"/>
    <w:rsid w:val="00665E2F"/>
    <w:rsid w:val="00666636"/>
    <w:rsid w:val="0067032B"/>
    <w:rsid w:val="00674A6B"/>
    <w:rsid w:val="00681545"/>
    <w:rsid w:val="00681856"/>
    <w:rsid w:val="00683C19"/>
    <w:rsid w:val="0068537E"/>
    <w:rsid w:val="006866E2"/>
    <w:rsid w:val="0068673F"/>
    <w:rsid w:val="0069260A"/>
    <w:rsid w:val="00696D7E"/>
    <w:rsid w:val="006A04CA"/>
    <w:rsid w:val="006A089E"/>
    <w:rsid w:val="006A2C8F"/>
    <w:rsid w:val="006A7FB8"/>
    <w:rsid w:val="006B057A"/>
    <w:rsid w:val="006B0E04"/>
    <w:rsid w:val="006B0E5D"/>
    <w:rsid w:val="006B132A"/>
    <w:rsid w:val="006B4FE6"/>
    <w:rsid w:val="006B7E95"/>
    <w:rsid w:val="006C34D5"/>
    <w:rsid w:val="006C5395"/>
    <w:rsid w:val="006C73A3"/>
    <w:rsid w:val="006D1307"/>
    <w:rsid w:val="006D3A58"/>
    <w:rsid w:val="006E1CE3"/>
    <w:rsid w:val="006E3261"/>
    <w:rsid w:val="006E56EB"/>
    <w:rsid w:val="006E7B47"/>
    <w:rsid w:val="006F0E44"/>
    <w:rsid w:val="006F4D45"/>
    <w:rsid w:val="006F5D30"/>
    <w:rsid w:val="006F635B"/>
    <w:rsid w:val="00713AED"/>
    <w:rsid w:val="007244C3"/>
    <w:rsid w:val="00724B18"/>
    <w:rsid w:val="00725FB2"/>
    <w:rsid w:val="00730D5F"/>
    <w:rsid w:val="00740E6D"/>
    <w:rsid w:val="00743B9F"/>
    <w:rsid w:val="00744A9D"/>
    <w:rsid w:val="00746268"/>
    <w:rsid w:val="00747057"/>
    <w:rsid w:val="00750AA9"/>
    <w:rsid w:val="007525B5"/>
    <w:rsid w:val="00754922"/>
    <w:rsid w:val="00760BF0"/>
    <w:rsid w:val="007748F0"/>
    <w:rsid w:val="00774B96"/>
    <w:rsid w:val="0077590C"/>
    <w:rsid w:val="0077771E"/>
    <w:rsid w:val="00780608"/>
    <w:rsid w:val="00781D91"/>
    <w:rsid w:val="007820A0"/>
    <w:rsid w:val="00790312"/>
    <w:rsid w:val="00794283"/>
    <w:rsid w:val="0079608F"/>
    <w:rsid w:val="007A1AC8"/>
    <w:rsid w:val="007A1EB5"/>
    <w:rsid w:val="007A1F07"/>
    <w:rsid w:val="007A3D6F"/>
    <w:rsid w:val="007B0B28"/>
    <w:rsid w:val="007B1F97"/>
    <w:rsid w:val="007B4CF0"/>
    <w:rsid w:val="007B529D"/>
    <w:rsid w:val="007C54DA"/>
    <w:rsid w:val="007D48AB"/>
    <w:rsid w:val="007D5597"/>
    <w:rsid w:val="007D5699"/>
    <w:rsid w:val="007D641E"/>
    <w:rsid w:val="007F3736"/>
    <w:rsid w:val="007F5750"/>
    <w:rsid w:val="007F6B67"/>
    <w:rsid w:val="0080348A"/>
    <w:rsid w:val="00803E7B"/>
    <w:rsid w:val="00804ACD"/>
    <w:rsid w:val="00805717"/>
    <w:rsid w:val="0081303E"/>
    <w:rsid w:val="008173C4"/>
    <w:rsid w:val="00821503"/>
    <w:rsid w:val="00822320"/>
    <w:rsid w:val="00823034"/>
    <w:rsid w:val="008230A4"/>
    <w:rsid w:val="008237E1"/>
    <w:rsid w:val="00824DA7"/>
    <w:rsid w:val="00824F47"/>
    <w:rsid w:val="00825584"/>
    <w:rsid w:val="008270B1"/>
    <w:rsid w:val="008276CF"/>
    <w:rsid w:val="00832567"/>
    <w:rsid w:val="00833807"/>
    <w:rsid w:val="008426D2"/>
    <w:rsid w:val="008461D1"/>
    <w:rsid w:val="00846C94"/>
    <w:rsid w:val="00846F26"/>
    <w:rsid w:val="008500CC"/>
    <w:rsid w:val="0085172B"/>
    <w:rsid w:val="008517BE"/>
    <w:rsid w:val="00855043"/>
    <w:rsid w:val="00855A40"/>
    <w:rsid w:val="0085682A"/>
    <w:rsid w:val="00857F95"/>
    <w:rsid w:val="0086053A"/>
    <w:rsid w:val="00861132"/>
    <w:rsid w:val="00863031"/>
    <w:rsid w:val="008636D7"/>
    <w:rsid w:val="00864271"/>
    <w:rsid w:val="00864D81"/>
    <w:rsid w:val="00883A2E"/>
    <w:rsid w:val="00887283"/>
    <w:rsid w:val="00895645"/>
    <w:rsid w:val="008A0B5C"/>
    <w:rsid w:val="008A0B9B"/>
    <w:rsid w:val="008A3765"/>
    <w:rsid w:val="008A513F"/>
    <w:rsid w:val="008B438F"/>
    <w:rsid w:val="008B59D2"/>
    <w:rsid w:val="008B76B4"/>
    <w:rsid w:val="008C4C57"/>
    <w:rsid w:val="008D1F04"/>
    <w:rsid w:val="008D63A9"/>
    <w:rsid w:val="008E0F40"/>
    <w:rsid w:val="008E7025"/>
    <w:rsid w:val="008F3834"/>
    <w:rsid w:val="008F405A"/>
    <w:rsid w:val="008F5D37"/>
    <w:rsid w:val="00902D05"/>
    <w:rsid w:val="00905441"/>
    <w:rsid w:val="00910AD8"/>
    <w:rsid w:val="0091288C"/>
    <w:rsid w:val="00913D4D"/>
    <w:rsid w:val="00920993"/>
    <w:rsid w:val="009243CB"/>
    <w:rsid w:val="00924DE6"/>
    <w:rsid w:val="00924E6F"/>
    <w:rsid w:val="00935E53"/>
    <w:rsid w:val="0093694D"/>
    <w:rsid w:val="00936F09"/>
    <w:rsid w:val="009376CA"/>
    <w:rsid w:val="00940A2A"/>
    <w:rsid w:val="00941D8E"/>
    <w:rsid w:val="00943E9F"/>
    <w:rsid w:val="00946C78"/>
    <w:rsid w:val="00955EFF"/>
    <w:rsid w:val="009640CD"/>
    <w:rsid w:val="009662CC"/>
    <w:rsid w:val="0097021F"/>
    <w:rsid w:val="0097251F"/>
    <w:rsid w:val="00972C76"/>
    <w:rsid w:val="0097423F"/>
    <w:rsid w:val="00974342"/>
    <w:rsid w:val="0097521C"/>
    <w:rsid w:val="009774DB"/>
    <w:rsid w:val="0098291D"/>
    <w:rsid w:val="00984B7D"/>
    <w:rsid w:val="00987A18"/>
    <w:rsid w:val="00987CD9"/>
    <w:rsid w:val="00987D7B"/>
    <w:rsid w:val="00990D4B"/>
    <w:rsid w:val="0099433A"/>
    <w:rsid w:val="00994B54"/>
    <w:rsid w:val="009B3ED0"/>
    <w:rsid w:val="009C0B4A"/>
    <w:rsid w:val="009C6EA6"/>
    <w:rsid w:val="009D2F6B"/>
    <w:rsid w:val="009D5980"/>
    <w:rsid w:val="009E0CCA"/>
    <w:rsid w:val="009E1164"/>
    <w:rsid w:val="009F09BE"/>
    <w:rsid w:val="009F2C88"/>
    <w:rsid w:val="009F5245"/>
    <w:rsid w:val="009F5631"/>
    <w:rsid w:val="009F5C6D"/>
    <w:rsid w:val="009F6586"/>
    <w:rsid w:val="00A029E0"/>
    <w:rsid w:val="00A03114"/>
    <w:rsid w:val="00A0318D"/>
    <w:rsid w:val="00A05D5F"/>
    <w:rsid w:val="00A125FB"/>
    <w:rsid w:val="00A14B71"/>
    <w:rsid w:val="00A15084"/>
    <w:rsid w:val="00A20B8B"/>
    <w:rsid w:val="00A22041"/>
    <w:rsid w:val="00A220FD"/>
    <w:rsid w:val="00A22D63"/>
    <w:rsid w:val="00A22F31"/>
    <w:rsid w:val="00A269F8"/>
    <w:rsid w:val="00A32F58"/>
    <w:rsid w:val="00A443DB"/>
    <w:rsid w:val="00A457A0"/>
    <w:rsid w:val="00A52637"/>
    <w:rsid w:val="00A52AF8"/>
    <w:rsid w:val="00A52EE5"/>
    <w:rsid w:val="00A53CEB"/>
    <w:rsid w:val="00A54D2D"/>
    <w:rsid w:val="00A66B19"/>
    <w:rsid w:val="00A67087"/>
    <w:rsid w:val="00A74A05"/>
    <w:rsid w:val="00A76303"/>
    <w:rsid w:val="00A81014"/>
    <w:rsid w:val="00A90AAE"/>
    <w:rsid w:val="00A90F5E"/>
    <w:rsid w:val="00A92C9F"/>
    <w:rsid w:val="00A93DAB"/>
    <w:rsid w:val="00A9409C"/>
    <w:rsid w:val="00A97AA5"/>
    <w:rsid w:val="00A97EE7"/>
    <w:rsid w:val="00AA0DBE"/>
    <w:rsid w:val="00AA11C3"/>
    <w:rsid w:val="00AA2330"/>
    <w:rsid w:val="00AA29AD"/>
    <w:rsid w:val="00AA4E9E"/>
    <w:rsid w:val="00AB0BCE"/>
    <w:rsid w:val="00AB1CDE"/>
    <w:rsid w:val="00AB2300"/>
    <w:rsid w:val="00AB5701"/>
    <w:rsid w:val="00AB5BC9"/>
    <w:rsid w:val="00AC2760"/>
    <w:rsid w:val="00AC6989"/>
    <w:rsid w:val="00AD25EB"/>
    <w:rsid w:val="00AD4886"/>
    <w:rsid w:val="00AD5E3D"/>
    <w:rsid w:val="00AE24AB"/>
    <w:rsid w:val="00AE7572"/>
    <w:rsid w:val="00AF3128"/>
    <w:rsid w:val="00AF7440"/>
    <w:rsid w:val="00B0009A"/>
    <w:rsid w:val="00B0032B"/>
    <w:rsid w:val="00B00F11"/>
    <w:rsid w:val="00B0547B"/>
    <w:rsid w:val="00B065EF"/>
    <w:rsid w:val="00B07570"/>
    <w:rsid w:val="00B20D2D"/>
    <w:rsid w:val="00B2119A"/>
    <w:rsid w:val="00B221D7"/>
    <w:rsid w:val="00B2676C"/>
    <w:rsid w:val="00B26801"/>
    <w:rsid w:val="00B32948"/>
    <w:rsid w:val="00B50138"/>
    <w:rsid w:val="00B50816"/>
    <w:rsid w:val="00B514C4"/>
    <w:rsid w:val="00B51DC4"/>
    <w:rsid w:val="00B52C62"/>
    <w:rsid w:val="00B53A77"/>
    <w:rsid w:val="00B548EC"/>
    <w:rsid w:val="00B5645E"/>
    <w:rsid w:val="00B57139"/>
    <w:rsid w:val="00B61A21"/>
    <w:rsid w:val="00B61C7A"/>
    <w:rsid w:val="00B65A37"/>
    <w:rsid w:val="00B665E4"/>
    <w:rsid w:val="00B70397"/>
    <w:rsid w:val="00B70A74"/>
    <w:rsid w:val="00B72DF7"/>
    <w:rsid w:val="00B80EB6"/>
    <w:rsid w:val="00B82C8C"/>
    <w:rsid w:val="00B85A0A"/>
    <w:rsid w:val="00B91FD7"/>
    <w:rsid w:val="00B923BE"/>
    <w:rsid w:val="00B93C73"/>
    <w:rsid w:val="00B95235"/>
    <w:rsid w:val="00BA0156"/>
    <w:rsid w:val="00BA1D71"/>
    <w:rsid w:val="00BA362C"/>
    <w:rsid w:val="00BB07AD"/>
    <w:rsid w:val="00BB1FE5"/>
    <w:rsid w:val="00BB2E3A"/>
    <w:rsid w:val="00BB2F8D"/>
    <w:rsid w:val="00BB3571"/>
    <w:rsid w:val="00BB4018"/>
    <w:rsid w:val="00BB6D5D"/>
    <w:rsid w:val="00BB7006"/>
    <w:rsid w:val="00BC10B8"/>
    <w:rsid w:val="00BC2021"/>
    <w:rsid w:val="00BC3577"/>
    <w:rsid w:val="00BC5937"/>
    <w:rsid w:val="00BC7062"/>
    <w:rsid w:val="00BD1FE6"/>
    <w:rsid w:val="00BD38BD"/>
    <w:rsid w:val="00BD47CE"/>
    <w:rsid w:val="00BD5AE8"/>
    <w:rsid w:val="00BD6C82"/>
    <w:rsid w:val="00BD6DB9"/>
    <w:rsid w:val="00BD7EE1"/>
    <w:rsid w:val="00BE1791"/>
    <w:rsid w:val="00BE5EEA"/>
    <w:rsid w:val="00BE5F56"/>
    <w:rsid w:val="00BE740E"/>
    <w:rsid w:val="00BF003E"/>
    <w:rsid w:val="00BF146B"/>
    <w:rsid w:val="00BF3546"/>
    <w:rsid w:val="00BF6D0C"/>
    <w:rsid w:val="00BF752F"/>
    <w:rsid w:val="00BF7F9F"/>
    <w:rsid w:val="00C00DCC"/>
    <w:rsid w:val="00C00E0F"/>
    <w:rsid w:val="00C034DE"/>
    <w:rsid w:val="00C11F3A"/>
    <w:rsid w:val="00C16D5F"/>
    <w:rsid w:val="00C20A5E"/>
    <w:rsid w:val="00C216B4"/>
    <w:rsid w:val="00C22C17"/>
    <w:rsid w:val="00C27E08"/>
    <w:rsid w:val="00C41AD7"/>
    <w:rsid w:val="00C428A8"/>
    <w:rsid w:val="00C436DF"/>
    <w:rsid w:val="00C46D70"/>
    <w:rsid w:val="00C51BD4"/>
    <w:rsid w:val="00C54713"/>
    <w:rsid w:val="00C56BDD"/>
    <w:rsid w:val="00C62F68"/>
    <w:rsid w:val="00C63BE2"/>
    <w:rsid w:val="00C652AB"/>
    <w:rsid w:val="00C66AB8"/>
    <w:rsid w:val="00C7055D"/>
    <w:rsid w:val="00C70D45"/>
    <w:rsid w:val="00C72C2B"/>
    <w:rsid w:val="00C7362A"/>
    <w:rsid w:val="00C74B69"/>
    <w:rsid w:val="00C7635B"/>
    <w:rsid w:val="00C763EB"/>
    <w:rsid w:val="00C80A1D"/>
    <w:rsid w:val="00C8196B"/>
    <w:rsid w:val="00C81D42"/>
    <w:rsid w:val="00C83AEE"/>
    <w:rsid w:val="00C8611B"/>
    <w:rsid w:val="00C86360"/>
    <w:rsid w:val="00C8693F"/>
    <w:rsid w:val="00C9042C"/>
    <w:rsid w:val="00C90CCE"/>
    <w:rsid w:val="00C926E2"/>
    <w:rsid w:val="00C95942"/>
    <w:rsid w:val="00CA30CA"/>
    <w:rsid w:val="00CA6067"/>
    <w:rsid w:val="00CB1525"/>
    <w:rsid w:val="00CB1DCA"/>
    <w:rsid w:val="00CB6D16"/>
    <w:rsid w:val="00CC0425"/>
    <w:rsid w:val="00CC1477"/>
    <w:rsid w:val="00CD20B4"/>
    <w:rsid w:val="00CD339C"/>
    <w:rsid w:val="00CD5FD6"/>
    <w:rsid w:val="00CE1AE5"/>
    <w:rsid w:val="00CE2205"/>
    <w:rsid w:val="00CE38DE"/>
    <w:rsid w:val="00CE50DA"/>
    <w:rsid w:val="00CF383A"/>
    <w:rsid w:val="00CF5CB3"/>
    <w:rsid w:val="00CF787D"/>
    <w:rsid w:val="00CF7C89"/>
    <w:rsid w:val="00D02D28"/>
    <w:rsid w:val="00D10077"/>
    <w:rsid w:val="00D1370B"/>
    <w:rsid w:val="00D15F3D"/>
    <w:rsid w:val="00D16751"/>
    <w:rsid w:val="00D17EE5"/>
    <w:rsid w:val="00D2145D"/>
    <w:rsid w:val="00D2192A"/>
    <w:rsid w:val="00D23B11"/>
    <w:rsid w:val="00D26BA4"/>
    <w:rsid w:val="00D30645"/>
    <w:rsid w:val="00D3325E"/>
    <w:rsid w:val="00D34A30"/>
    <w:rsid w:val="00D34F2C"/>
    <w:rsid w:val="00D369B1"/>
    <w:rsid w:val="00D43DA9"/>
    <w:rsid w:val="00D47BDD"/>
    <w:rsid w:val="00D56D33"/>
    <w:rsid w:val="00D61C8F"/>
    <w:rsid w:val="00D66FB7"/>
    <w:rsid w:val="00D733F6"/>
    <w:rsid w:val="00D738F0"/>
    <w:rsid w:val="00D73FC0"/>
    <w:rsid w:val="00D742A0"/>
    <w:rsid w:val="00D760C5"/>
    <w:rsid w:val="00D77794"/>
    <w:rsid w:val="00D8482F"/>
    <w:rsid w:val="00D84DC9"/>
    <w:rsid w:val="00D85936"/>
    <w:rsid w:val="00D861FE"/>
    <w:rsid w:val="00D87D94"/>
    <w:rsid w:val="00D92BC3"/>
    <w:rsid w:val="00D94655"/>
    <w:rsid w:val="00D9585B"/>
    <w:rsid w:val="00D95E1F"/>
    <w:rsid w:val="00DA2DC6"/>
    <w:rsid w:val="00DA365D"/>
    <w:rsid w:val="00DA3C35"/>
    <w:rsid w:val="00DA3D81"/>
    <w:rsid w:val="00DA4FB0"/>
    <w:rsid w:val="00DB0F16"/>
    <w:rsid w:val="00DB4906"/>
    <w:rsid w:val="00DB66AB"/>
    <w:rsid w:val="00DB756A"/>
    <w:rsid w:val="00DC14C2"/>
    <w:rsid w:val="00DC1846"/>
    <w:rsid w:val="00DC32C9"/>
    <w:rsid w:val="00DC3C0A"/>
    <w:rsid w:val="00DC4D61"/>
    <w:rsid w:val="00DD18A4"/>
    <w:rsid w:val="00DD1EC6"/>
    <w:rsid w:val="00DD27B9"/>
    <w:rsid w:val="00DE6352"/>
    <w:rsid w:val="00DF03C7"/>
    <w:rsid w:val="00DF0526"/>
    <w:rsid w:val="00DF08AA"/>
    <w:rsid w:val="00DF1426"/>
    <w:rsid w:val="00DF2889"/>
    <w:rsid w:val="00DF393E"/>
    <w:rsid w:val="00DF3A32"/>
    <w:rsid w:val="00E008E7"/>
    <w:rsid w:val="00E045D4"/>
    <w:rsid w:val="00E06228"/>
    <w:rsid w:val="00E108C1"/>
    <w:rsid w:val="00E1183B"/>
    <w:rsid w:val="00E1538C"/>
    <w:rsid w:val="00E1717C"/>
    <w:rsid w:val="00E208E6"/>
    <w:rsid w:val="00E2355F"/>
    <w:rsid w:val="00E320F2"/>
    <w:rsid w:val="00E41747"/>
    <w:rsid w:val="00E47224"/>
    <w:rsid w:val="00E47BBC"/>
    <w:rsid w:val="00E51761"/>
    <w:rsid w:val="00E51EAE"/>
    <w:rsid w:val="00E53828"/>
    <w:rsid w:val="00E5471F"/>
    <w:rsid w:val="00E5485C"/>
    <w:rsid w:val="00E553F1"/>
    <w:rsid w:val="00E568DD"/>
    <w:rsid w:val="00E63B5A"/>
    <w:rsid w:val="00E668B3"/>
    <w:rsid w:val="00E719A2"/>
    <w:rsid w:val="00E72E11"/>
    <w:rsid w:val="00E73FE4"/>
    <w:rsid w:val="00E75C2A"/>
    <w:rsid w:val="00E76C35"/>
    <w:rsid w:val="00E8300C"/>
    <w:rsid w:val="00E86A81"/>
    <w:rsid w:val="00E92440"/>
    <w:rsid w:val="00E947D2"/>
    <w:rsid w:val="00E94F54"/>
    <w:rsid w:val="00E961EB"/>
    <w:rsid w:val="00EA017C"/>
    <w:rsid w:val="00EA2826"/>
    <w:rsid w:val="00EA5E0A"/>
    <w:rsid w:val="00EB06A2"/>
    <w:rsid w:val="00EB0DDC"/>
    <w:rsid w:val="00EB272C"/>
    <w:rsid w:val="00EB2B98"/>
    <w:rsid w:val="00EB54E9"/>
    <w:rsid w:val="00EB7871"/>
    <w:rsid w:val="00EC0625"/>
    <w:rsid w:val="00EC1C51"/>
    <w:rsid w:val="00EC3EFF"/>
    <w:rsid w:val="00EC4C71"/>
    <w:rsid w:val="00EC5D3E"/>
    <w:rsid w:val="00ED02A9"/>
    <w:rsid w:val="00ED1186"/>
    <w:rsid w:val="00ED128B"/>
    <w:rsid w:val="00ED2A12"/>
    <w:rsid w:val="00ED6249"/>
    <w:rsid w:val="00EE3E6A"/>
    <w:rsid w:val="00EE71F9"/>
    <w:rsid w:val="00EE781E"/>
    <w:rsid w:val="00EF2F63"/>
    <w:rsid w:val="00EF41B7"/>
    <w:rsid w:val="00EF48A9"/>
    <w:rsid w:val="00F0729F"/>
    <w:rsid w:val="00F11FF0"/>
    <w:rsid w:val="00F17C70"/>
    <w:rsid w:val="00F21003"/>
    <w:rsid w:val="00F21C72"/>
    <w:rsid w:val="00F244B2"/>
    <w:rsid w:val="00F24FBB"/>
    <w:rsid w:val="00F30E5B"/>
    <w:rsid w:val="00F30FF7"/>
    <w:rsid w:val="00F339A2"/>
    <w:rsid w:val="00F3434D"/>
    <w:rsid w:val="00F347C9"/>
    <w:rsid w:val="00F352C6"/>
    <w:rsid w:val="00F37943"/>
    <w:rsid w:val="00F379E6"/>
    <w:rsid w:val="00F40DDE"/>
    <w:rsid w:val="00F42704"/>
    <w:rsid w:val="00F4315A"/>
    <w:rsid w:val="00F4319D"/>
    <w:rsid w:val="00F46391"/>
    <w:rsid w:val="00F470A4"/>
    <w:rsid w:val="00F478C6"/>
    <w:rsid w:val="00F52DFC"/>
    <w:rsid w:val="00F53FCF"/>
    <w:rsid w:val="00F54190"/>
    <w:rsid w:val="00F555F6"/>
    <w:rsid w:val="00F62419"/>
    <w:rsid w:val="00F66C44"/>
    <w:rsid w:val="00F71F80"/>
    <w:rsid w:val="00F738CA"/>
    <w:rsid w:val="00F84E01"/>
    <w:rsid w:val="00F85FCE"/>
    <w:rsid w:val="00F902DB"/>
    <w:rsid w:val="00F9365C"/>
    <w:rsid w:val="00F93C8F"/>
    <w:rsid w:val="00F9788C"/>
    <w:rsid w:val="00FA2D9A"/>
    <w:rsid w:val="00FA772D"/>
    <w:rsid w:val="00FB29D6"/>
    <w:rsid w:val="00FB34ED"/>
    <w:rsid w:val="00FB4075"/>
    <w:rsid w:val="00FC00FB"/>
    <w:rsid w:val="00FC05E5"/>
    <w:rsid w:val="00FC0ED0"/>
    <w:rsid w:val="00FC292A"/>
    <w:rsid w:val="00FC4265"/>
    <w:rsid w:val="00FD2285"/>
    <w:rsid w:val="00FD299E"/>
    <w:rsid w:val="00FD2CCF"/>
    <w:rsid w:val="00FD33BC"/>
    <w:rsid w:val="00FE299E"/>
    <w:rsid w:val="00FE4CF6"/>
    <w:rsid w:val="00FE79F6"/>
    <w:rsid w:val="00FF0665"/>
    <w:rsid w:val="00FF0E80"/>
    <w:rsid w:val="00FF1FFD"/>
    <w:rsid w:val="00FF224A"/>
    <w:rsid w:val="00FF3308"/>
    <w:rsid w:val="00FF4774"/>
    <w:rsid w:val="00FF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6"/>
  </w:style>
  <w:style w:type="paragraph" w:styleId="1">
    <w:name w:val="heading 1"/>
    <w:basedOn w:val="a"/>
    <w:next w:val="a"/>
    <w:link w:val="10"/>
    <w:uiPriority w:val="9"/>
    <w:qFormat/>
    <w:rsid w:val="00123F86"/>
    <w:pPr>
      <w:keepNext/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86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23F86"/>
  </w:style>
  <w:style w:type="numbering" w:customStyle="1" w:styleId="110">
    <w:name w:val="Нет списка11"/>
    <w:next w:val="a2"/>
    <w:uiPriority w:val="99"/>
    <w:semiHidden/>
    <w:unhideWhenUsed/>
    <w:rsid w:val="00123F86"/>
  </w:style>
  <w:style w:type="paragraph" w:customStyle="1" w:styleId="ConsPlusTitle">
    <w:name w:val="ConsPlusTitle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23F86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123F8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3F86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23F86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123F86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123F86"/>
    <w:pPr>
      <w:ind w:left="708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2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123F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123F86"/>
    <w:pPr>
      <w:autoSpaceDE w:val="0"/>
      <w:autoSpaceDN w:val="0"/>
      <w:adjustRightInd w:val="0"/>
      <w:spacing w:before="40"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123F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23F8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123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23F8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123F86"/>
    <w:rPr>
      <w:rFonts w:ascii="Calibri" w:eastAsia="Calibri" w:hAnsi="Calibri" w:cs="Times New Roman"/>
    </w:rPr>
  </w:style>
  <w:style w:type="character" w:customStyle="1" w:styleId="butback1">
    <w:name w:val="butback1"/>
    <w:rsid w:val="00123F86"/>
    <w:rPr>
      <w:color w:val="666666"/>
    </w:rPr>
  </w:style>
  <w:style w:type="character" w:customStyle="1" w:styleId="submenu-table">
    <w:name w:val="submenu-table"/>
    <w:rsid w:val="00123F86"/>
  </w:style>
  <w:style w:type="paragraph" w:styleId="3">
    <w:name w:val="Body Text Indent 3"/>
    <w:basedOn w:val="a"/>
    <w:link w:val="30"/>
    <w:rsid w:val="00123F8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3F86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123F8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23F8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123F86"/>
    <w:pPr>
      <w:suppressAutoHyphens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123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123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12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3F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23F8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12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2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123F86"/>
    <w:rPr>
      <w:vertAlign w:val="superscript"/>
    </w:rPr>
  </w:style>
  <w:style w:type="paragraph" w:styleId="af7">
    <w:name w:val="Body Text"/>
    <w:basedOn w:val="a"/>
    <w:link w:val="af8"/>
    <w:rsid w:val="00123F86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123F8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23F86"/>
  </w:style>
  <w:style w:type="paragraph" w:styleId="af9">
    <w:name w:val="Subtitle"/>
    <w:basedOn w:val="a"/>
    <w:next w:val="a"/>
    <w:link w:val="afa"/>
    <w:qFormat/>
    <w:rsid w:val="00123F86"/>
    <w:pPr>
      <w:spacing w:after="60" w:line="240" w:lineRule="auto"/>
      <w:jc w:val="center"/>
      <w:outlineLvl w:val="1"/>
    </w:pPr>
    <w:rPr>
      <w:rFonts w:ascii="Calibri" w:eastAsia="Calibri" w:hAnsi="Calibri" w:cs="Times New Roman"/>
      <w:b/>
      <w:i/>
      <w:sz w:val="28"/>
      <w:szCs w:val="24"/>
    </w:rPr>
  </w:style>
  <w:style w:type="character" w:customStyle="1" w:styleId="afa">
    <w:name w:val="Подзаголовок Знак"/>
    <w:basedOn w:val="a0"/>
    <w:link w:val="af9"/>
    <w:rsid w:val="00123F86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123F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123F86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123F8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3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6"/>
  </w:style>
  <w:style w:type="paragraph" w:styleId="1">
    <w:name w:val="heading 1"/>
    <w:basedOn w:val="a"/>
    <w:next w:val="a"/>
    <w:link w:val="10"/>
    <w:uiPriority w:val="9"/>
    <w:qFormat/>
    <w:rsid w:val="00123F86"/>
    <w:pPr>
      <w:keepNext/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86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23F86"/>
  </w:style>
  <w:style w:type="numbering" w:customStyle="1" w:styleId="110">
    <w:name w:val="Нет списка11"/>
    <w:next w:val="a2"/>
    <w:uiPriority w:val="99"/>
    <w:semiHidden/>
    <w:unhideWhenUsed/>
    <w:rsid w:val="00123F86"/>
  </w:style>
  <w:style w:type="paragraph" w:customStyle="1" w:styleId="ConsPlusTitle">
    <w:name w:val="ConsPlusTitle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23F86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123F8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123F86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123F86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rsid w:val="00123F86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123F86"/>
    <w:pPr>
      <w:ind w:left="708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2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123F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123F86"/>
    <w:pPr>
      <w:autoSpaceDE w:val="0"/>
      <w:autoSpaceDN w:val="0"/>
      <w:adjustRightInd w:val="0"/>
      <w:spacing w:before="40"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123F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23F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23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23F86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23F86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123F86"/>
    <w:rPr>
      <w:color w:val="666666"/>
    </w:rPr>
  </w:style>
  <w:style w:type="character" w:customStyle="1" w:styleId="submenu-table">
    <w:name w:val="submenu-table"/>
    <w:rsid w:val="00123F86"/>
  </w:style>
  <w:style w:type="paragraph" w:styleId="3">
    <w:name w:val="Body Text Indent 3"/>
    <w:basedOn w:val="a"/>
    <w:link w:val="30"/>
    <w:rsid w:val="00123F8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123F86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123F8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23F8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123F86"/>
    <w:pPr>
      <w:suppressAutoHyphens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123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123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123F8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123F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23F8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12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rsid w:val="00123F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123F86"/>
    <w:rPr>
      <w:vertAlign w:val="superscript"/>
    </w:rPr>
  </w:style>
  <w:style w:type="paragraph" w:styleId="af7">
    <w:name w:val="Body Text"/>
    <w:basedOn w:val="a"/>
    <w:link w:val="af8"/>
    <w:rsid w:val="00123F86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123F8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23F86"/>
  </w:style>
  <w:style w:type="paragraph" w:styleId="af9">
    <w:name w:val="Subtitle"/>
    <w:basedOn w:val="a"/>
    <w:next w:val="a"/>
    <w:link w:val="afa"/>
    <w:qFormat/>
    <w:rsid w:val="00123F86"/>
    <w:pPr>
      <w:spacing w:after="60" w:line="240" w:lineRule="auto"/>
      <w:jc w:val="center"/>
      <w:outlineLvl w:val="1"/>
    </w:pPr>
    <w:rPr>
      <w:rFonts w:ascii="Calibri" w:eastAsia="Calibri" w:hAnsi="Calibri" w:cs="Times New Roman"/>
      <w:b/>
      <w:i/>
      <w:sz w:val="28"/>
      <w:szCs w:val="24"/>
    </w:rPr>
  </w:style>
  <w:style w:type="character" w:customStyle="1" w:styleId="afa">
    <w:name w:val="Подзаголовок Знак"/>
    <w:basedOn w:val="a0"/>
    <w:link w:val="af9"/>
    <w:rsid w:val="00123F86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123F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123F86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123F8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B84B-3FDE-476C-B8FC-94309DD7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29</Pages>
  <Words>9994</Words>
  <Characters>56966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57</cp:revision>
  <cp:lastPrinted>2023-11-28T11:35:00Z</cp:lastPrinted>
  <dcterms:created xsi:type="dcterms:W3CDTF">2023-11-13T08:00:00Z</dcterms:created>
  <dcterms:modified xsi:type="dcterms:W3CDTF">2023-11-28T11:50:00Z</dcterms:modified>
</cp:coreProperties>
</file>