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6" w:rsidRPr="00975324" w:rsidRDefault="00123F86" w:rsidP="00123F86">
      <w:pPr>
        <w:spacing w:after="0" w:line="240" w:lineRule="atLeast"/>
        <w:jc w:val="center"/>
        <w:rPr>
          <w:rFonts w:eastAsia="Times New Roman" w:cs="Times New Roman"/>
        </w:rPr>
      </w:pPr>
      <w:r w:rsidRPr="0097532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86" w:rsidRPr="00975324" w:rsidRDefault="00123F86" w:rsidP="00123F86">
      <w:pPr>
        <w:spacing w:after="0" w:line="240" w:lineRule="atLeast"/>
        <w:rPr>
          <w:rFonts w:eastAsia="Times New Roman" w:cs="Times New Roman"/>
        </w:rPr>
      </w:pPr>
    </w:p>
    <w:p w:rsidR="00123F86" w:rsidRPr="00975324" w:rsidRDefault="00123F86" w:rsidP="00123F86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123F86" w:rsidRPr="00975324" w:rsidRDefault="00123F86" w:rsidP="00123F86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123F86" w:rsidRPr="00975324" w:rsidRDefault="00123F86" w:rsidP="00123F8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Ул. Гагарина, 28 «а», </w:t>
      </w:r>
      <w:proofErr w:type="gramStart"/>
      <w:r w:rsidRPr="00975324">
        <w:rPr>
          <w:rFonts w:ascii="Times New Roman" w:eastAsia="Times New Roman" w:hAnsi="Times New Roman" w:cs="Times New Roman"/>
        </w:rPr>
        <w:t>г</w:t>
      </w:r>
      <w:proofErr w:type="gramEnd"/>
      <w:r w:rsidRPr="00975324">
        <w:rPr>
          <w:rFonts w:ascii="Times New Roman" w:eastAsia="Times New Roman" w:hAnsi="Times New Roman" w:cs="Times New Roman"/>
        </w:rPr>
        <w:t>. Вятские Поляны, Кировская область, 612964,</w:t>
      </w:r>
    </w:p>
    <w:p w:rsidR="00123F86" w:rsidRPr="00975324" w:rsidRDefault="00123F86" w:rsidP="00123F86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975324">
        <w:rPr>
          <w:rFonts w:ascii="Times New Roman" w:eastAsia="Times New Roman" w:hAnsi="Times New Roman" w:cs="Times New Roman"/>
          <w:lang w:val="en-US"/>
        </w:rPr>
        <w:t>E</w:t>
      </w:r>
      <w:r w:rsidRPr="00975324">
        <w:rPr>
          <w:rFonts w:ascii="Times New Roman" w:eastAsia="Times New Roman" w:hAnsi="Times New Roman" w:cs="Times New Roman"/>
        </w:rPr>
        <w:t>-</w:t>
      </w:r>
      <w:r w:rsidRPr="00975324">
        <w:rPr>
          <w:rFonts w:ascii="Times New Roman" w:eastAsia="Times New Roman" w:hAnsi="Times New Roman" w:cs="Times New Roman"/>
          <w:lang w:val="en-US"/>
        </w:rPr>
        <w:t>mail</w:t>
      </w:r>
      <w:r w:rsidRPr="00975324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41153A" w:rsidRPr="00975324">
        <w:rPr>
          <w:rFonts w:ascii="Times New Roman" w:eastAsia="Times New Roman" w:hAnsi="Times New Roman" w:cs="Times New Roman"/>
        </w:rPr>
        <w:fldChar w:fldCharType="begin"/>
      </w:r>
      <w:r w:rsidRPr="00975324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41153A" w:rsidRPr="00975324">
        <w:rPr>
          <w:rFonts w:ascii="Times New Roman" w:eastAsia="Times New Roman" w:hAnsi="Times New Roman" w:cs="Times New Roman"/>
        </w:rPr>
        <w:fldChar w:fldCharType="separate"/>
      </w:r>
      <w:r w:rsidRPr="00975324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41153A" w:rsidRPr="00975324">
        <w:rPr>
          <w:rFonts w:ascii="Times New Roman" w:eastAsia="Times New Roman" w:hAnsi="Times New Roman" w:cs="Times New Roman"/>
        </w:rPr>
        <w:fldChar w:fldCharType="end"/>
      </w:r>
    </w:p>
    <w:p w:rsidR="00123F86" w:rsidRDefault="00123F86" w:rsidP="0012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0043E" w:rsidRPr="00975324" w:rsidRDefault="00E0043E" w:rsidP="0012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03A" w:rsidRDefault="00123F86" w:rsidP="0012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  <w:r w:rsidR="00031283">
        <w:rPr>
          <w:rFonts w:ascii="Times New Roman" w:eastAsia="Times New Roman" w:hAnsi="Times New Roman" w:cs="Times New Roman"/>
          <w:b/>
          <w:sz w:val="32"/>
          <w:szCs w:val="32"/>
        </w:rPr>
        <w:t xml:space="preserve"> №</w:t>
      </w:r>
      <w:r w:rsidR="0007045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F7B18">
        <w:rPr>
          <w:rFonts w:ascii="Times New Roman" w:eastAsia="Times New Roman" w:hAnsi="Times New Roman" w:cs="Times New Roman"/>
          <w:b/>
          <w:sz w:val="32"/>
          <w:szCs w:val="32"/>
        </w:rPr>
        <w:t>29</w:t>
      </w:r>
    </w:p>
    <w:p w:rsidR="00123F86" w:rsidRPr="00936F09" w:rsidRDefault="00123F86" w:rsidP="0012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 xml:space="preserve">на проект решения Вятскополянской городской Думы </w:t>
      </w:r>
    </w:p>
    <w:p w:rsidR="00123F86" w:rsidRPr="00936F09" w:rsidRDefault="00123F86" w:rsidP="0012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>«О бюджете муниципального образования городского округа город Вятские Поляны Кировской области на 202</w:t>
      </w:r>
      <w:r w:rsidR="00E14B3E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 и на плановый период 202</w:t>
      </w:r>
      <w:r w:rsidR="00E14B3E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 xml:space="preserve"> и 202</w:t>
      </w:r>
      <w:r w:rsidR="00E14B3E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936F09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годов» </w:t>
      </w:r>
    </w:p>
    <w:p w:rsidR="00123F86" w:rsidRPr="00936F09" w:rsidRDefault="00123F86" w:rsidP="0012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1B95" w:rsidRPr="00975324" w:rsidRDefault="004C1B95" w:rsidP="0012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23F86" w:rsidRPr="00975324" w:rsidRDefault="00123F86" w:rsidP="0012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="00434BF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92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ноября 20</w:t>
      </w:r>
      <w:r w:rsidR="00CC04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B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4D2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65C" w:rsidRDefault="00F9365C" w:rsidP="00F9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65C" w:rsidRDefault="00F9365C" w:rsidP="00F9365C">
      <w:pPr>
        <w:widowControl w:val="0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D0880" w:rsidRPr="00532FF7" w:rsidRDefault="00AD0880" w:rsidP="00AD0880">
      <w:pPr>
        <w:pStyle w:val="aa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32FF7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AD0880" w:rsidRPr="00297229" w:rsidRDefault="00AD0880" w:rsidP="00AD0880">
      <w:pPr>
        <w:pStyle w:val="aa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0880" w:rsidRPr="002F67F5" w:rsidRDefault="00AD0880" w:rsidP="00AD0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eastAsia="Times New Roman" w:hAnsi="Times New Roman" w:cs="Times New Roman"/>
          <w:sz w:val="28"/>
          <w:szCs w:val="28"/>
        </w:rPr>
        <w:t>Заключение контрольно-счетной комиссии города Вятские Поляны на проект решения Вятскополянской городской Думы «О бюджете муниципального образования городского округа город Вятские Поляны Кировской области на 202</w:t>
      </w:r>
      <w:r w:rsidRPr="00B859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Pr="00B8594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Pr="00B8594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 (далее – Бюджетный кодекс РФ), Положением о бюджетном процессе в муниципальном образовании городской округ город Вятские Поляны Кировской области</w:t>
      </w:r>
      <w:proofErr w:type="gramEnd"/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Вятскополянской </w:t>
      </w:r>
      <w:proofErr w:type="gramStart"/>
      <w:r w:rsidRPr="002F67F5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proofErr w:type="gramEnd"/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 Думы от 06.11.2013 № 69</w:t>
      </w:r>
      <w:r w:rsidR="00F848FD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контрольно-счетной комиссии муниципального образования городского округа город Вятские Поляны Кировской области, утвержденным решением Вятскополянской городской Думы от </w:t>
      </w:r>
      <w:r w:rsidRPr="00B8594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F67F5">
        <w:rPr>
          <w:rFonts w:ascii="Times New Roman" w:eastAsia="Times New Roman" w:hAnsi="Times New Roman" w:cs="Times New Roman"/>
          <w:sz w:val="28"/>
          <w:szCs w:val="28"/>
        </w:rPr>
        <w:t>2.12.2011 № 129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 и иными нормативными правовыми актами муниципального образования.</w:t>
      </w:r>
    </w:p>
    <w:p w:rsidR="00AD0880" w:rsidRPr="002F67F5" w:rsidRDefault="00AD0880" w:rsidP="00AD0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7F5"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заключения проведена оценка соблюдения нормативных правовых актов, методических материалов и иных документов, составляющих основу формирования городского бюджета. </w:t>
      </w:r>
    </w:p>
    <w:p w:rsidR="00AD0880" w:rsidRPr="002F67F5" w:rsidRDefault="00AD0880" w:rsidP="00AD08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67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решения представлен в контрольно-счетную комиссию для проведения экспертизы </w:t>
      </w:r>
      <w:r w:rsidRPr="00AD0880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Pr="002F67F5">
        <w:rPr>
          <w:rFonts w:ascii="Times New Roman" w:eastAsia="Times New Roman" w:hAnsi="Times New Roman" w:cs="Times New Roman"/>
          <w:sz w:val="28"/>
          <w:szCs w:val="20"/>
          <w:lang w:eastAsia="ru-RU"/>
        </w:rPr>
        <w:t>.11.202</w:t>
      </w:r>
      <w:r w:rsidRPr="00B8594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2F67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сроки, установленные статьями 26, 28 </w:t>
      </w:r>
      <w:r w:rsidRPr="002F67F5">
        <w:rPr>
          <w:rFonts w:ascii="Times New Roman" w:eastAsia="Times New Roman" w:hAnsi="Times New Roman" w:cs="Times New Roman"/>
          <w:sz w:val="28"/>
          <w:szCs w:val="28"/>
        </w:rPr>
        <w:t>Положения о бюджетном процессе</w:t>
      </w:r>
      <w:r w:rsidRPr="002F67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AD0880" w:rsidRDefault="00AD0880" w:rsidP="00AD0880">
      <w:pPr>
        <w:widowControl w:val="0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D0880" w:rsidRDefault="00AD0880" w:rsidP="00AD0880">
      <w:pPr>
        <w:widowControl w:val="0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D0880" w:rsidRDefault="00AD0880" w:rsidP="00AD0880">
      <w:pPr>
        <w:widowControl w:val="0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D0880" w:rsidRPr="00327540" w:rsidRDefault="00AD0880" w:rsidP="00AD0880">
      <w:pPr>
        <w:widowControl w:val="0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2. </w:t>
      </w:r>
      <w:r w:rsidRPr="00327540">
        <w:rPr>
          <w:rFonts w:ascii="Times New Roman" w:eastAsia="Times New Roman" w:hAnsi="Times New Roman"/>
          <w:b/>
          <w:sz w:val="28"/>
          <w:szCs w:val="20"/>
          <w:lang w:eastAsia="ru-RU"/>
        </w:rPr>
        <w:t>Основные параметры прогноза исходных макроэкономических показателей для составления проекта городского бюджета</w:t>
      </w:r>
    </w:p>
    <w:p w:rsidR="00AD0880" w:rsidRPr="00832A49" w:rsidRDefault="00AD0880" w:rsidP="00AD0880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880" w:rsidRPr="00975324" w:rsidRDefault="00AD0880" w:rsidP="00AD08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прогноза социально-экономического развития города Вятские Поляны на 202</w:t>
      </w:r>
      <w:r w:rsidRPr="00B8594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B8594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разработаны в двух вариантах: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консервативному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(1 вариант) и базовому (2 вариант). Базовый вариант прогноза взят за основу составления проекта бюджета города Вятские Поляны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0880" w:rsidRDefault="00AD0880" w:rsidP="00AD08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исходных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макроэкономических показателей 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проекта городского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0E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8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</w:t>
      </w:r>
      <w:r w:rsidR="00E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и 2027 годов 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следующие показатели:</w:t>
      </w:r>
    </w:p>
    <w:p w:rsidR="00AD0880" w:rsidRPr="002C1BDB" w:rsidRDefault="00AD0880" w:rsidP="00AD08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f"/>
        <w:tblW w:w="9643" w:type="dxa"/>
        <w:tblLayout w:type="fixed"/>
        <w:tblLook w:val="04A0"/>
      </w:tblPr>
      <w:tblGrid>
        <w:gridCol w:w="3249"/>
        <w:gridCol w:w="1081"/>
        <w:gridCol w:w="1075"/>
        <w:gridCol w:w="1082"/>
        <w:gridCol w:w="1134"/>
        <w:gridCol w:w="992"/>
        <w:gridCol w:w="1030"/>
      </w:tblGrid>
      <w:tr w:rsidR="00AD0880" w:rsidTr="00592285">
        <w:tc>
          <w:tcPr>
            <w:tcW w:w="3249" w:type="dxa"/>
          </w:tcPr>
          <w:p w:rsidR="00AD0880" w:rsidRPr="00FF41F0" w:rsidRDefault="00AD0880" w:rsidP="00592285">
            <w:pPr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081" w:type="dxa"/>
          </w:tcPr>
          <w:p w:rsidR="00AD0880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AD0880" w:rsidRPr="00FF41F0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75" w:type="dxa"/>
          </w:tcPr>
          <w:p w:rsidR="00AD0880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AD0880" w:rsidRPr="00FF41F0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82" w:type="dxa"/>
          </w:tcPr>
          <w:p w:rsidR="00AD0880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  <w:p w:rsidR="00AD0880" w:rsidRPr="00FF41F0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4" w:type="dxa"/>
          </w:tcPr>
          <w:p w:rsidR="00AD0880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AD0880" w:rsidRPr="00FF41F0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</w:tcPr>
          <w:p w:rsidR="00AD0880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AD0880" w:rsidRPr="00FF41F0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 w:rsidRPr="00FF41F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30" w:type="dxa"/>
          </w:tcPr>
          <w:p w:rsidR="00AD0880" w:rsidRDefault="00AD0880" w:rsidP="00F848F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2027</w:t>
            </w:r>
          </w:p>
          <w:p w:rsidR="00AD0880" w:rsidRPr="00F00E3C" w:rsidRDefault="00AD0880" w:rsidP="00F84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AD0880" w:rsidTr="00592285">
        <w:tc>
          <w:tcPr>
            <w:tcW w:w="3249" w:type="dxa"/>
          </w:tcPr>
          <w:p w:rsidR="00AD0880" w:rsidRPr="00FF41F0" w:rsidRDefault="00AD0880" w:rsidP="00592285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AD0880" w:rsidRPr="00FF41F0" w:rsidRDefault="00AD0880" w:rsidP="005922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075" w:type="dxa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082" w:type="dxa"/>
          </w:tcPr>
          <w:p w:rsidR="00AD0880" w:rsidRPr="00FF41F0" w:rsidRDefault="00AD0880" w:rsidP="005922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156" w:type="dxa"/>
            <w:gridSpan w:val="3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прогноз</w:t>
            </w:r>
          </w:p>
        </w:tc>
      </w:tr>
      <w:tr w:rsidR="00AD0880" w:rsidTr="00592285">
        <w:trPr>
          <w:trHeight w:val="193"/>
        </w:trPr>
        <w:tc>
          <w:tcPr>
            <w:tcW w:w="3249" w:type="dxa"/>
          </w:tcPr>
          <w:p w:rsidR="00AD0880" w:rsidRPr="00A22041" w:rsidRDefault="00AD0880" w:rsidP="00592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204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81" w:type="dxa"/>
          </w:tcPr>
          <w:p w:rsidR="00AD0880" w:rsidRPr="00A22041" w:rsidRDefault="00AD0880" w:rsidP="00592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5" w:type="dxa"/>
          </w:tcPr>
          <w:p w:rsidR="00AD0880" w:rsidRPr="00A22041" w:rsidRDefault="00AD0880" w:rsidP="00592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2" w:type="dxa"/>
          </w:tcPr>
          <w:p w:rsidR="00AD0880" w:rsidRPr="00A22041" w:rsidRDefault="00AD0880" w:rsidP="00592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D0880" w:rsidRPr="00A22041" w:rsidRDefault="00AD0880" w:rsidP="00592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D0880" w:rsidRPr="00A22041" w:rsidRDefault="00AD0880" w:rsidP="00592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30" w:type="dxa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AD0880" w:rsidTr="00592285">
        <w:tc>
          <w:tcPr>
            <w:tcW w:w="3249" w:type="dxa"/>
          </w:tcPr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>Индекс потребительских цен (уровень инфляции), %</w:t>
            </w:r>
          </w:p>
        </w:tc>
        <w:tc>
          <w:tcPr>
            <w:tcW w:w="1081" w:type="dxa"/>
            <w:vAlign w:val="center"/>
          </w:tcPr>
          <w:p w:rsidR="00AD0880" w:rsidRPr="004C4CE9" w:rsidRDefault="00AD0880" w:rsidP="000D559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  <w:r w:rsidR="000D559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75" w:type="dxa"/>
            <w:vAlign w:val="center"/>
          </w:tcPr>
          <w:p w:rsidR="00AD0880" w:rsidRPr="004C4CE9" w:rsidRDefault="00AD0880" w:rsidP="000D559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107</w:t>
            </w:r>
            <w:r w:rsidR="000D559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2" w:type="dxa"/>
            <w:vAlign w:val="center"/>
          </w:tcPr>
          <w:p w:rsidR="00AD0880" w:rsidRPr="004C4CE9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vAlign w:val="center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vAlign w:val="center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  <w:tc>
          <w:tcPr>
            <w:tcW w:w="1030" w:type="dxa"/>
            <w:vAlign w:val="center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AD0880" w:rsidTr="00592285">
        <w:tc>
          <w:tcPr>
            <w:tcW w:w="3249" w:type="dxa"/>
          </w:tcPr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Оборот организаций по всем видам деятельности</w:t>
            </w:r>
            <w:r w:rsidRPr="00CD2CFE">
              <w:rPr>
                <w:rFonts w:ascii="Times New Roman" w:hAnsi="Times New Roman"/>
                <w:sz w:val="20"/>
                <w:szCs w:val="20"/>
              </w:rPr>
              <w:t xml:space="preserve"> по полному кругу, млн. руб.</w:t>
            </w:r>
          </w:p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1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15155,5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1075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20841,5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137,5</w:t>
            </w:r>
          </w:p>
        </w:tc>
        <w:tc>
          <w:tcPr>
            <w:tcW w:w="108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21133,3</w:t>
            </w: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134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21606,7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80">
              <w:rPr>
                <w:rFonts w:ascii="Times New Roman" w:hAnsi="Times New Roman"/>
                <w:sz w:val="20"/>
                <w:szCs w:val="20"/>
              </w:rPr>
              <w:t>102,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22092,8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980">
              <w:rPr>
                <w:rFonts w:ascii="Times New Roman" w:hAnsi="Times New Roman"/>
                <w:sz w:val="20"/>
                <w:szCs w:val="20"/>
              </w:rPr>
              <w:t>102,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22592,1</w:t>
            </w: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AD0880" w:rsidTr="00592285">
        <w:trPr>
          <w:trHeight w:val="842"/>
        </w:trPr>
        <w:tc>
          <w:tcPr>
            <w:tcW w:w="3249" w:type="dxa"/>
          </w:tcPr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Среднемесячная</w:t>
            </w:r>
            <w:r w:rsidRPr="007F028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D2CFE">
              <w:rPr>
                <w:rFonts w:ascii="Times New Roman" w:hAnsi="Times New Roman"/>
                <w:sz w:val="20"/>
                <w:szCs w:val="20"/>
              </w:rPr>
              <w:t>номинальная начисленная заработная плата в расчете на одного работника, руб.</w:t>
            </w:r>
          </w:p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1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30854,9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1075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38078,0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123,4</w:t>
            </w:r>
          </w:p>
        </w:tc>
        <w:tc>
          <w:tcPr>
            <w:tcW w:w="108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42974,5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112,9</w:t>
            </w:r>
          </w:p>
        </w:tc>
        <w:tc>
          <w:tcPr>
            <w:tcW w:w="1134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48131,4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44A7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99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52944,6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44A7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30" w:type="dxa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57233,1</w:t>
            </w: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44A7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</w:tr>
      <w:tr w:rsidR="00AD0880" w:rsidTr="00592285">
        <w:tc>
          <w:tcPr>
            <w:tcW w:w="3249" w:type="dxa"/>
          </w:tcPr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 xml:space="preserve">Фонд </w:t>
            </w:r>
            <w:r w:rsidRPr="00CD2CFE">
              <w:rPr>
                <w:rFonts w:ascii="Times New Roman" w:hAnsi="Times New Roman"/>
                <w:sz w:val="20"/>
                <w:szCs w:val="20"/>
              </w:rPr>
              <w:t>оплаты труда, млн. руб.</w:t>
            </w:r>
          </w:p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1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3767,0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075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4737,5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125,8</w:t>
            </w:r>
          </w:p>
        </w:tc>
        <w:tc>
          <w:tcPr>
            <w:tcW w:w="108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5341,6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1134" w:type="dxa"/>
          </w:tcPr>
          <w:p w:rsidR="00AD0880" w:rsidRPr="00944A7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5976,8</w:t>
            </w:r>
          </w:p>
          <w:p w:rsidR="00AD0880" w:rsidRPr="00944A7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992" w:type="dxa"/>
          </w:tcPr>
          <w:p w:rsidR="00AD0880" w:rsidRPr="00944A7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6601,1</w:t>
            </w:r>
          </w:p>
          <w:p w:rsidR="00AD0880" w:rsidRPr="00944A7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1030" w:type="dxa"/>
          </w:tcPr>
          <w:p w:rsidR="00AD0880" w:rsidRPr="00944A7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7173,6</w:t>
            </w:r>
          </w:p>
          <w:p w:rsidR="00AD0880" w:rsidRPr="00944A7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108,7</w:t>
            </w:r>
          </w:p>
        </w:tc>
      </w:tr>
      <w:tr w:rsidR="00AD0880" w:rsidTr="00592285">
        <w:tc>
          <w:tcPr>
            <w:tcW w:w="3249" w:type="dxa"/>
          </w:tcPr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 xml:space="preserve">Прибыль </w:t>
            </w:r>
            <w:r w:rsidRPr="00CD2CFE">
              <w:rPr>
                <w:rFonts w:ascii="Times New Roman" w:hAnsi="Times New Roman"/>
                <w:sz w:val="20"/>
                <w:szCs w:val="20"/>
              </w:rPr>
              <w:t>прибыльных предприятий, с учетом предприятий сельского хозяйства, млн</w:t>
            </w:r>
            <w:proofErr w:type="gramStart"/>
            <w:r w:rsidRPr="00CD2CF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D2CFE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1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1165,4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5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1935,2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108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1594,9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1650,2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99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1707,6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030" w:type="dxa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1767,2</w:t>
            </w: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AD0880" w:rsidTr="00592285">
        <w:tc>
          <w:tcPr>
            <w:tcW w:w="3249" w:type="dxa"/>
          </w:tcPr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Инвестиции</w:t>
            </w:r>
            <w:r w:rsidRPr="00CD2CFE">
              <w:rPr>
                <w:rFonts w:ascii="Times New Roman" w:hAnsi="Times New Roman"/>
                <w:sz w:val="20"/>
                <w:szCs w:val="20"/>
              </w:rPr>
              <w:t xml:space="preserve"> в основной капитал за счет всех источников финансирования, млн. руб.</w:t>
            </w:r>
          </w:p>
          <w:p w:rsidR="00AD0880" w:rsidRPr="00CD2CFE" w:rsidRDefault="00AD0880" w:rsidP="005922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1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935,3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075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1375,6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108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1428,7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1089,3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99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1111,6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030" w:type="dxa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1153,1</w:t>
            </w: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AD0880" w:rsidTr="00592285">
        <w:tc>
          <w:tcPr>
            <w:tcW w:w="3249" w:type="dxa"/>
          </w:tcPr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 xml:space="preserve">Остаточная </w:t>
            </w:r>
            <w:r w:rsidRPr="00CD2CFE">
              <w:rPr>
                <w:rFonts w:ascii="Times New Roman" w:hAnsi="Times New Roman"/>
                <w:sz w:val="20"/>
                <w:szCs w:val="20"/>
              </w:rPr>
              <w:t>балансовая стоимость основных фондов на конец года, млн. руб.</w:t>
            </w:r>
          </w:p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081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2759,4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12540B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40B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  <w:tc>
          <w:tcPr>
            <w:tcW w:w="1075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2924,7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08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2930,5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134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2895,6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99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2860,9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030" w:type="dxa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2826,7</w:t>
            </w: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AD0880" w:rsidTr="00592285">
        <w:tc>
          <w:tcPr>
            <w:tcW w:w="3249" w:type="dxa"/>
          </w:tcPr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Объем оборота</w:t>
            </w:r>
            <w:r w:rsidRPr="00CD2CFE">
              <w:rPr>
                <w:rFonts w:ascii="Times New Roman" w:hAnsi="Times New Roman"/>
                <w:sz w:val="20"/>
                <w:szCs w:val="20"/>
              </w:rPr>
              <w:t xml:space="preserve"> розничной торговли, млн. руб.</w:t>
            </w:r>
          </w:p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1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5871,1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1075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5833,8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108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6514,9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134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7100,3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99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7664,4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030" w:type="dxa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8241,6</w:t>
            </w: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</w:tr>
      <w:tr w:rsidR="00AD0880" w:rsidTr="00592285">
        <w:tc>
          <w:tcPr>
            <w:tcW w:w="3249" w:type="dxa"/>
          </w:tcPr>
          <w:p w:rsidR="00AD0880" w:rsidRPr="00944A7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Объем платных услуг населению, млн. руб.</w:t>
            </w:r>
          </w:p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81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1330,1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075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1495,1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08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1648,4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134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1790,5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99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1919,6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030" w:type="dxa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2042,2</w:t>
            </w: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D0880" w:rsidTr="00592285">
        <w:tc>
          <w:tcPr>
            <w:tcW w:w="3249" w:type="dxa"/>
          </w:tcPr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944A75">
              <w:rPr>
                <w:rFonts w:ascii="Times New Roman" w:hAnsi="Times New Roman"/>
                <w:sz w:val="20"/>
                <w:szCs w:val="20"/>
              </w:rPr>
              <w:t>Оборот м</w:t>
            </w:r>
            <w:r w:rsidRPr="00CD2CFE">
              <w:rPr>
                <w:rFonts w:ascii="Times New Roman" w:hAnsi="Times New Roman"/>
                <w:sz w:val="20"/>
                <w:szCs w:val="20"/>
              </w:rPr>
              <w:t xml:space="preserve">алых предприятий (с учетом </w:t>
            </w:r>
            <w:proofErr w:type="spellStart"/>
            <w:r w:rsidRPr="00CD2CFE">
              <w:rPr>
                <w:rFonts w:ascii="Times New Roman" w:hAnsi="Times New Roman"/>
                <w:sz w:val="20"/>
                <w:szCs w:val="20"/>
              </w:rPr>
              <w:t>микропредприятий</w:t>
            </w:r>
            <w:proofErr w:type="spellEnd"/>
            <w:r w:rsidRPr="00CD2CFE">
              <w:rPr>
                <w:rFonts w:ascii="Times New Roman" w:hAnsi="Times New Roman"/>
                <w:sz w:val="20"/>
                <w:szCs w:val="20"/>
              </w:rPr>
              <w:t>) млн. руб.</w:t>
            </w:r>
          </w:p>
          <w:p w:rsidR="00AD0880" w:rsidRPr="00CD2CFE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CD2C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% </w:t>
            </w:r>
            <w:proofErr w:type="gramStart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CD2CFE">
              <w:rPr>
                <w:rFonts w:ascii="Times New Roman" w:hAnsi="Times New Roman"/>
                <w:i/>
                <w:sz w:val="20"/>
                <w:szCs w:val="20"/>
              </w:rPr>
              <w:t xml:space="preserve"> предыдущему году </w:t>
            </w:r>
          </w:p>
        </w:tc>
        <w:tc>
          <w:tcPr>
            <w:tcW w:w="1081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4005,5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17BDA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1075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4756,3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118,7</w:t>
            </w:r>
          </w:p>
        </w:tc>
        <w:tc>
          <w:tcPr>
            <w:tcW w:w="108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4889,9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134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5001,1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992" w:type="dxa"/>
          </w:tcPr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5174,1</w:t>
            </w: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Pr="009D59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030" w:type="dxa"/>
          </w:tcPr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5368,3</w:t>
            </w: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0880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</w:tr>
    </w:tbl>
    <w:p w:rsidR="00F848FD" w:rsidRDefault="00F848FD" w:rsidP="00AD0880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880" w:rsidRPr="0054543E" w:rsidRDefault="00AD0880" w:rsidP="00AD0880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организаций по всем видам деятельности по полному кругу спрогнозирован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21606,7 </w:t>
      </w:r>
      <w:r w:rsidRPr="0054543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руб., что выше ожидаемого уровня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2,2%.</w:t>
      </w:r>
    </w:p>
    <w:p w:rsidR="00AD0880" w:rsidRPr="0054543E" w:rsidRDefault="00AD0880" w:rsidP="00AD0880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рибыль прибыльных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прогнозируется с ростом к оценке 2024 года на </w:t>
      </w:r>
      <w:r w:rsidR="00CE18D5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и составит 1650,2 млн. руб.</w:t>
      </w:r>
    </w:p>
    <w:p w:rsidR="00F21AE8" w:rsidRPr="00944A75" w:rsidRDefault="00AD0880" w:rsidP="00F21A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F56CA1">
        <w:rPr>
          <w:rFonts w:ascii="Times New Roman" w:hAnsi="Times New Roman"/>
          <w:bCs/>
          <w:sz w:val="28"/>
          <w:szCs w:val="28"/>
        </w:rPr>
        <w:t>онд оплаты труда в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F56CA1">
        <w:rPr>
          <w:rFonts w:ascii="Times New Roman" w:hAnsi="Times New Roman"/>
          <w:bCs/>
          <w:sz w:val="28"/>
          <w:szCs w:val="28"/>
        </w:rPr>
        <w:t xml:space="preserve"> году планируется в размере </w:t>
      </w:r>
      <w:r>
        <w:rPr>
          <w:rFonts w:ascii="Times New Roman" w:hAnsi="Times New Roman"/>
          <w:bCs/>
          <w:sz w:val="28"/>
          <w:szCs w:val="28"/>
        </w:rPr>
        <w:t>5976,8</w:t>
      </w:r>
      <w:r w:rsidRPr="00F56CA1">
        <w:rPr>
          <w:rFonts w:ascii="Times New Roman" w:hAnsi="Times New Roman"/>
          <w:bCs/>
          <w:sz w:val="28"/>
          <w:szCs w:val="28"/>
        </w:rPr>
        <w:t xml:space="preserve"> млн.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6CA1">
        <w:rPr>
          <w:rFonts w:ascii="Times New Roman" w:hAnsi="Times New Roman"/>
          <w:bCs/>
          <w:sz w:val="28"/>
          <w:szCs w:val="28"/>
        </w:rPr>
        <w:t>руб. и увеличит</w:t>
      </w:r>
      <w:r>
        <w:rPr>
          <w:rFonts w:ascii="Times New Roman" w:hAnsi="Times New Roman"/>
          <w:bCs/>
          <w:sz w:val="28"/>
          <w:szCs w:val="28"/>
        </w:rPr>
        <w:t>ся к ожидаемой оценке 2024</w:t>
      </w:r>
      <w:r w:rsidRPr="00F56CA1">
        <w:rPr>
          <w:rFonts w:ascii="Times New Roman" w:hAnsi="Times New Roman"/>
          <w:bCs/>
          <w:sz w:val="28"/>
          <w:szCs w:val="28"/>
        </w:rPr>
        <w:t xml:space="preserve"> года на </w:t>
      </w:r>
      <w:r w:rsidRPr="00944A75">
        <w:rPr>
          <w:rFonts w:ascii="Times New Roman" w:hAnsi="Times New Roman"/>
          <w:bCs/>
          <w:sz w:val="28"/>
          <w:szCs w:val="28"/>
        </w:rPr>
        <w:t>11,9%.</w:t>
      </w:r>
      <w:r w:rsidR="00F21AE8" w:rsidRPr="00F21AE8">
        <w:rPr>
          <w:rFonts w:ascii="Times New Roman" w:hAnsi="Times New Roman"/>
          <w:bCs/>
          <w:sz w:val="28"/>
          <w:szCs w:val="28"/>
        </w:rPr>
        <w:t xml:space="preserve"> </w:t>
      </w:r>
      <w:r w:rsidR="00F21AE8">
        <w:rPr>
          <w:rFonts w:ascii="Times New Roman" w:hAnsi="Times New Roman"/>
          <w:bCs/>
          <w:sz w:val="28"/>
          <w:szCs w:val="28"/>
        </w:rPr>
        <w:t xml:space="preserve">в </w:t>
      </w:r>
      <w:r w:rsidR="00F21AE8" w:rsidRPr="00944A75">
        <w:rPr>
          <w:rFonts w:ascii="Times New Roman" w:hAnsi="Times New Roman"/>
          <w:bCs/>
          <w:sz w:val="28"/>
          <w:szCs w:val="28"/>
        </w:rPr>
        <w:t>2026 году</w:t>
      </w:r>
      <w:r w:rsidR="00F21AE8">
        <w:rPr>
          <w:rFonts w:ascii="Times New Roman" w:hAnsi="Times New Roman"/>
          <w:bCs/>
          <w:sz w:val="28"/>
          <w:szCs w:val="28"/>
        </w:rPr>
        <w:t xml:space="preserve"> – на </w:t>
      </w:r>
      <w:r w:rsidR="00F21AE8" w:rsidRPr="00944A75">
        <w:rPr>
          <w:rFonts w:ascii="Times New Roman" w:hAnsi="Times New Roman"/>
          <w:bCs/>
          <w:sz w:val="28"/>
          <w:szCs w:val="28"/>
        </w:rPr>
        <w:t>10,</w:t>
      </w:r>
      <w:r w:rsidR="00F21AE8">
        <w:rPr>
          <w:rFonts w:ascii="Times New Roman" w:hAnsi="Times New Roman"/>
          <w:bCs/>
          <w:sz w:val="28"/>
          <w:szCs w:val="28"/>
        </w:rPr>
        <w:t>4</w:t>
      </w:r>
      <w:r w:rsidR="00F21AE8" w:rsidRPr="00944A75">
        <w:rPr>
          <w:rFonts w:ascii="Times New Roman" w:hAnsi="Times New Roman"/>
          <w:bCs/>
          <w:sz w:val="28"/>
          <w:szCs w:val="28"/>
        </w:rPr>
        <w:t>%</w:t>
      </w:r>
      <w:r w:rsidR="00F21AE8">
        <w:rPr>
          <w:rFonts w:ascii="Times New Roman" w:hAnsi="Times New Roman"/>
          <w:bCs/>
          <w:sz w:val="28"/>
          <w:szCs w:val="28"/>
        </w:rPr>
        <w:t xml:space="preserve">, </w:t>
      </w:r>
      <w:r w:rsidR="00F21AE8" w:rsidRPr="00944A75">
        <w:rPr>
          <w:rFonts w:ascii="Times New Roman" w:hAnsi="Times New Roman"/>
          <w:bCs/>
          <w:sz w:val="28"/>
          <w:szCs w:val="28"/>
        </w:rPr>
        <w:t>в 2027 году</w:t>
      </w:r>
      <w:r w:rsidR="00F21AE8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="00F21AE8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F21AE8">
        <w:rPr>
          <w:rFonts w:ascii="Times New Roman" w:hAnsi="Times New Roman"/>
          <w:bCs/>
          <w:sz w:val="28"/>
          <w:szCs w:val="28"/>
        </w:rPr>
        <w:t xml:space="preserve"> </w:t>
      </w:r>
      <w:r w:rsidR="00F21AE8" w:rsidRPr="00944A75">
        <w:rPr>
          <w:rFonts w:ascii="Times New Roman" w:hAnsi="Times New Roman"/>
          <w:bCs/>
          <w:sz w:val="28"/>
          <w:szCs w:val="28"/>
        </w:rPr>
        <w:t>8,</w:t>
      </w:r>
      <w:r w:rsidR="00F21AE8">
        <w:rPr>
          <w:rFonts w:ascii="Times New Roman" w:hAnsi="Times New Roman"/>
          <w:bCs/>
          <w:sz w:val="28"/>
          <w:szCs w:val="28"/>
        </w:rPr>
        <w:t>7</w:t>
      </w:r>
      <w:r w:rsidR="00F21AE8" w:rsidRPr="00944A75">
        <w:rPr>
          <w:rFonts w:ascii="Times New Roman" w:hAnsi="Times New Roman"/>
          <w:bCs/>
          <w:sz w:val="28"/>
          <w:szCs w:val="28"/>
        </w:rPr>
        <w:t>%</w:t>
      </w:r>
      <w:r w:rsidR="00F21AE8">
        <w:rPr>
          <w:rFonts w:ascii="Times New Roman" w:hAnsi="Times New Roman"/>
          <w:bCs/>
          <w:sz w:val="28"/>
          <w:szCs w:val="28"/>
        </w:rPr>
        <w:t>.</w:t>
      </w:r>
      <w:r w:rsidR="00F21AE8" w:rsidRPr="00944A75">
        <w:rPr>
          <w:rFonts w:ascii="Times New Roman" w:hAnsi="Times New Roman"/>
          <w:bCs/>
          <w:sz w:val="28"/>
          <w:szCs w:val="28"/>
        </w:rPr>
        <w:t xml:space="preserve"> </w:t>
      </w:r>
    </w:p>
    <w:p w:rsidR="00AD0880" w:rsidRDefault="00AD0880" w:rsidP="00AD08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Среднемесячная номинальная начисленная заработная плата работников организаций увеличиться с 42974,5 руб. по оценке 2024 года до 57233,1 руб. по прогнозу 2027 года. </w:t>
      </w:r>
    </w:p>
    <w:p w:rsidR="00AD0880" w:rsidRPr="00975324" w:rsidRDefault="00AD0880" w:rsidP="00AD08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нвестиции в основной капитал прогнозируются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1089,3 млн</w:t>
      </w:r>
      <w:r w:rsidRPr="0097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снижением на 24,8% к уровню 2024 года.</w:t>
      </w:r>
    </w:p>
    <w:p w:rsidR="00AD0880" w:rsidRPr="00BB5BD4" w:rsidRDefault="00AD0880" w:rsidP="00AD08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потребительских цен (уровень инфляции) планируется на уровне 105,5%.</w:t>
      </w:r>
    </w:p>
    <w:p w:rsidR="00AD0880" w:rsidRPr="00CD2CFE" w:rsidRDefault="00AD0880" w:rsidP="00AD0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CFE">
        <w:rPr>
          <w:rFonts w:ascii="Times New Roman" w:hAnsi="Times New Roman"/>
          <w:sz w:val="28"/>
          <w:szCs w:val="28"/>
          <w:lang w:eastAsia="ru-RU"/>
        </w:rPr>
        <w:t xml:space="preserve">Остаточная балансовая стоимость основных фондов </w:t>
      </w:r>
      <w:proofErr w:type="gramStart"/>
      <w:r w:rsidRPr="00CD2CFE">
        <w:rPr>
          <w:rFonts w:ascii="Times New Roman" w:hAnsi="Times New Roman"/>
          <w:sz w:val="28"/>
          <w:szCs w:val="28"/>
          <w:lang w:eastAsia="ru-RU"/>
        </w:rPr>
        <w:t>на конец</w:t>
      </w:r>
      <w:proofErr w:type="gramEnd"/>
      <w:r w:rsidRPr="00CD2CFE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D2CFE">
        <w:rPr>
          <w:rFonts w:ascii="Times New Roman" w:hAnsi="Times New Roman"/>
          <w:sz w:val="28"/>
          <w:szCs w:val="28"/>
          <w:lang w:eastAsia="ru-RU"/>
        </w:rPr>
        <w:t xml:space="preserve"> года п</w:t>
      </w:r>
      <w:r w:rsidR="00EC56C6">
        <w:rPr>
          <w:rFonts w:ascii="Times New Roman" w:hAnsi="Times New Roman"/>
          <w:sz w:val="28"/>
          <w:szCs w:val="28"/>
          <w:lang w:eastAsia="ru-RU"/>
        </w:rPr>
        <w:t>рогнозируется</w:t>
      </w:r>
      <w:r w:rsidRPr="00CD2CFE">
        <w:rPr>
          <w:rFonts w:ascii="Times New Roman" w:hAnsi="Times New Roman"/>
          <w:sz w:val="28"/>
          <w:szCs w:val="28"/>
          <w:lang w:eastAsia="ru-RU"/>
        </w:rPr>
        <w:t xml:space="preserve"> с уменьшением к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D2CFE">
        <w:rPr>
          <w:rFonts w:ascii="Times New Roman" w:hAnsi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hAnsi="Times New Roman"/>
          <w:sz w:val="28"/>
          <w:szCs w:val="28"/>
          <w:lang w:eastAsia="ru-RU"/>
        </w:rPr>
        <w:t>1,3</w:t>
      </w:r>
      <w:r w:rsidRPr="00CD2CFE">
        <w:rPr>
          <w:rFonts w:ascii="Times New Roman" w:hAnsi="Times New Roman"/>
          <w:sz w:val="28"/>
          <w:szCs w:val="28"/>
          <w:lang w:eastAsia="ru-RU"/>
        </w:rPr>
        <w:t xml:space="preserve">% и составит </w:t>
      </w:r>
      <w:r>
        <w:rPr>
          <w:rFonts w:ascii="Times New Roman" w:hAnsi="Times New Roman"/>
          <w:sz w:val="28"/>
          <w:szCs w:val="28"/>
          <w:lang w:eastAsia="ru-RU"/>
        </w:rPr>
        <w:t>2895,6</w:t>
      </w:r>
      <w:r w:rsidRPr="00CD2CFE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</w:p>
    <w:p w:rsidR="00AD0880" w:rsidRPr="00E1183B" w:rsidRDefault="00AD0880" w:rsidP="00AD0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Оборот розничной торговли в 2025</w:t>
      </w:r>
      <w:r w:rsidRPr="00F56CA1">
        <w:rPr>
          <w:rFonts w:ascii="Times New Roman" w:hAnsi="Times New Roman"/>
          <w:color w:val="000000"/>
          <w:sz w:val="28"/>
          <w:szCs w:val="28"/>
        </w:rPr>
        <w:t xml:space="preserve"> году планируется в размере </w:t>
      </w:r>
      <w:r>
        <w:rPr>
          <w:rFonts w:ascii="Times New Roman" w:hAnsi="Times New Roman"/>
          <w:color w:val="000000"/>
          <w:sz w:val="28"/>
          <w:szCs w:val="28"/>
        </w:rPr>
        <w:t>7100,3 млн. руб.</w:t>
      </w:r>
      <w:r w:rsidRPr="00F56CA1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ростом</w:t>
      </w:r>
      <w:r w:rsidRPr="00F56CA1">
        <w:rPr>
          <w:rFonts w:ascii="Times New Roman" w:hAnsi="Times New Roman"/>
          <w:color w:val="000000"/>
          <w:sz w:val="28"/>
          <w:szCs w:val="28"/>
        </w:rPr>
        <w:t xml:space="preserve"> в сопоставимых ценах к предыдущему году на </w:t>
      </w:r>
      <w:r>
        <w:rPr>
          <w:rFonts w:ascii="Times New Roman" w:hAnsi="Times New Roman"/>
          <w:color w:val="000000"/>
          <w:sz w:val="28"/>
          <w:szCs w:val="28"/>
        </w:rPr>
        <w:t>3,4</w:t>
      </w:r>
      <w:r w:rsidRPr="00F56CA1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859D4">
        <w:rPr>
          <w:rFonts w:ascii="Times New Roman" w:hAnsi="Times New Roman"/>
          <w:sz w:val="28"/>
          <w:szCs w:val="28"/>
        </w:rPr>
        <w:t xml:space="preserve">Оборот общественного питания прогнозируется в объеме </w:t>
      </w:r>
      <w:r>
        <w:rPr>
          <w:rFonts w:ascii="Times New Roman" w:hAnsi="Times New Roman"/>
          <w:sz w:val="28"/>
          <w:szCs w:val="28"/>
        </w:rPr>
        <w:t>301,6</w:t>
      </w:r>
      <w:r w:rsidRPr="003859D4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9D4">
        <w:rPr>
          <w:rFonts w:ascii="Times New Roman" w:hAnsi="Times New Roman"/>
          <w:sz w:val="28"/>
          <w:szCs w:val="28"/>
        </w:rPr>
        <w:t xml:space="preserve">руб. с ростом к предыдущему году на </w:t>
      </w:r>
      <w:r>
        <w:rPr>
          <w:rFonts w:ascii="Times New Roman" w:hAnsi="Times New Roman"/>
          <w:sz w:val="28"/>
          <w:szCs w:val="28"/>
        </w:rPr>
        <w:t>0,5</w:t>
      </w:r>
      <w:r w:rsidRPr="003859D4">
        <w:rPr>
          <w:rFonts w:ascii="Times New Roman" w:hAnsi="Times New Roman"/>
          <w:sz w:val="28"/>
          <w:szCs w:val="28"/>
        </w:rPr>
        <w:t>%, объем платных услуг населению в сопоставимых ценах увеличится в 202</w:t>
      </w:r>
      <w:r>
        <w:rPr>
          <w:rFonts w:ascii="Times New Roman" w:hAnsi="Times New Roman"/>
          <w:sz w:val="28"/>
          <w:szCs w:val="28"/>
        </w:rPr>
        <w:t>5</w:t>
      </w:r>
      <w:r w:rsidRPr="003859D4">
        <w:rPr>
          <w:rFonts w:ascii="Times New Roman" w:hAnsi="Times New Roman"/>
          <w:sz w:val="28"/>
          <w:szCs w:val="28"/>
        </w:rPr>
        <w:t xml:space="preserve"> году</w:t>
      </w:r>
      <w:r w:rsidRPr="00E118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1,8</w:t>
      </w:r>
      <w:r w:rsidRPr="00E1183B">
        <w:rPr>
          <w:rFonts w:ascii="Times New Roman" w:hAnsi="Times New Roman"/>
          <w:sz w:val="28"/>
          <w:szCs w:val="28"/>
        </w:rPr>
        <w:t xml:space="preserve">% и составит </w:t>
      </w:r>
      <w:r>
        <w:rPr>
          <w:rFonts w:ascii="Times New Roman" w:hAnsi="Times New Roman"/>
          <w:sz w:val="28"/>
          <w:szCs w:val="28"/>
        </w:rPr>
        <w:t>1790,5</w:t>
      </w:r>
      <w:r w:rsidRPr="00E1183B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83B">
        <w:rPr>
          <w:rFonts w:ascii="Times New Roman" w:hAnsi="Times New Roman"/>
          <w:sz w:val="28"/>
          <w:szCs w:val="28"/>
        </w:rPr>
        <w:t>руб.</w:t>
      </w:r>
      <w:proofErr w:type="gramEnd"/>
    </w:p>
    <w:p w:rsidR="00AD0880" w:rsidRDefault="00AD0880" w:rsidP="00AD0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906">
        <w:rPr>
          <w:rFonts w:ascii="Times New Roman" w:hAnsi="Times New Roman"/>
          <w:sz w:val="28"/>
          <w:szCs w:val="28"/>
          <w:lang w:eastAsia="ru-RU"/>
        </w:rPr>
        <w:t xml:space="preserve">Оборот малых предприятий прогнозируется с </w:t>
      </w:r>
      <w:r>
        <w:rPr>
          <w:rFonts w:ascii="Times New Roman" w:hAnsi="Times New Roman"/>
          <w:sz w:val="28"/>
          <w:szCs w:val="28"/>
          <w:lang w:eastAsia="ru-RU"/>
        </w:rPr>
        <w:t>небольшим увеличением</w:t>
      </w:r>
      <w:r w:rsidRPr="00576906">
        <w:rPr>
          <w:rFonts w:ascii="Times New Roman" w:hAnsi="Times New Roman"/>
          <w:sz w:val="28"/>
          <w:szCs w:val="28"/>
          <w:lang w:eastAsia="ru-RU"/>
        </w:rPr>
        <w:t xml:space="preserve"> к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76906">
        <w:rPr>
          <w:rFonts w:ascii="Times New Roman" w:hAnsi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hAnsi="Times New Roman"/>
          <w:sz w:val="28"/>
          <w:szCs w:val="28"/>
          <w:lang w:eastAsia="ru-RU"/>
        </w:rPr>
        <w:t>2,3</w:t>
      </w:r>
      <w:r w:rsidRPr="00576906">
        <w:rPr>
          <w:rFonts w:ascii="Times New Roman" w:hAnsi="Times New Roman"/>
          <w:sz w:val="28"/>
          <w:szCs w:val="28"/>
          <w:lang w:eastAsia="ru-RU"/>
        </w:rPr>
        <w:t xml:space="preserve">% и планируется в размере </w:t>
      </w:r>
      <w:r>
        <w:rPr>
          <w:rFonts w:ascii="Times New Roman" w:hAnsi="Times New Roman"/>
          <w:sz w:val="28"/>
          <w:szCs w:val="28"/>
          <w:lang w:eastAsia="ru-RU"/>
        </w:rPr>
        <w:t>5001,1</w:t>
      </w:r>
      <w:r w:rsidRPr="00576906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</w:p>
    <w:p w:rsidR="00AD0880" w:rsidRDefault="00AD0880" w:rsidP="00AD0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0880" w:rsidRDefault="00AD0880" w:rsidP="00AD0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большинства показателей базового варианта прогноза, характеризующих социально-экономическое развитие города Вятские Поляны в 2025-2027 годах, свидетельствуют об умеренных темпах роста экономики и позитивных тенденциях формирования налогооблагаемой базы и поступлений в бюджетную систему муниципального образования.</w:t>
      </w:r>
    </w:p>
    <w:p w:rsidR="00AD0880" w:rsidRDefault="00AD0880" w:rsidP="00AD0880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0880" w:rsidRPr="003B42DC" w:rsidRDefault="00AD0880" w:rsidP="00AD0880">
      <w:pPr>
        <w:pStyle w:val="aa"/>
        <w:numPr>
          <w:ilvl w:val="0"/>
          <w:numId w:val="26"/>
        </w:numPr>
        <w:suppressAutoHyphens/>
        <w:spacing w:after="0" w:line="240" w:lineRule="auto"/>
        <w:ind w:left="114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42DC">
        <w:rPr>
          <w:rFonts w:ascii="Times New Roman" w:hAnsi="Times New Roman"/>
          <w:b/>
          <w:sz w:val="28"/>
          <w:szCs w:val="28"/>
        </w:rPr>
        <w:t>Основные параметры и характеристики городского бюджета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3B42DC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3B42DC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AD0880" w:rsidRPr="00832A49" w:rsidRDefault="00AD0880" w:rsidP="00AD088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880" w:rsidRDefault="00AD0880" w:rsidP="00AD088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15C92">
        <w:rPr>
          <w:rFonts w:ascii="Times New Roman" w:eastAsia="Calibri" w:hAnsi="Times New Roman" w:cs="Times New Roman"/>
          <w:b/>
          <w:sz w:val="28"/>
          <w:szCs w:val="28"/>
        </w:rPr>
        <w:t>3.1.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Основные параметры городского бюджета в 2024-2027 годах представлены в таблице:</w:t>
      </w:r>
    </w:p>
    <w:tbl>
      <w:tblPr>
        <w:tblW w:w="9462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2410"/>
        <w:gridCol w:w="1843"/>
        <w:gridCol w:w="1701"/>
        <w:gridCol w:w="1753"/>
      </w:tblGrid>
      <w:tr w:rsidR="00AD0880" w:rsidRPr="001B7EC9" w:rsidTr="00592285">
        <w:trPr>
          <w:cantSplit/>
          <w:trHeight w:val="346"/>
          <w:jc w:val="center"/>
        </w:trPr>
        <w:tc>
          <w:tcPr>
            <w:tcW w:w="1755" w:type="dxa"/>
            <w:vMerge w:val="restart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10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D08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В-П городской Думы от 29.10.2024</w:t>
            </w:r>
            <w:proofErr w:type="gramEnd"/>
          </w:p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15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34/320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701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753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AD0880" w:rsidRPr="001B7EC9" w:rsidTr="00592285">
        <w:trPr>
          <w:cantSplit/>
          <w:trHeight w:val="226"/>
          <w:jc w:val="center"/>
        </w:trPr>
        <w:tc>
          <w:tcPr>
            <w:tcW w:w="1755" w:type="dxa"/>
            <w:vMerge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843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753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D0880" w:rsidRPr="001B7EC9" w:rsidTr="00592285">
        <w:trPr>
          <w:trHeight w:val="377"/>
          <w:jc w:val="center"/>
        </w:trPr>
        <w:tc>
          <w:tcPr>
            <w:tcW w:w="1755" w:type="dxa"/>
            <w:vAlign w:val="center"/>
          </w:tcPr>
          <w:p w:rsidR="00AD0880" w:rsidRPr="0029722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229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2410" w:type="dxa"/>
            <w:vAlign w:val="center"/>
          </w:tcPr>
          <w:p w:rsidR="00AD0880" w:rsidRPr="0029722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1036074,3</w:t>
            </w:r>
          </w:p>
        </w:tc>
        <w:tc>
          <w:tcPr>
            <w:tcW w:w="1843" w:type="dxa"/>
            <w:vAlign w:val="center"/>
          </w:tcPr>
          <w:p w:rsidR="00AD0880" w:rsidRPr="00C02318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1244544,0</w:t>
            </w:r>
          </w:p>
        </w:tc>
        <w:tc>
          <w:tcPr>
            <w:tcW w:w="1701" w:type="dxa"/>
            <w:vAlign w:val="center"/>
          </w:tcPr>
          <w:p w:rsidR="00AD0880" w:rsidRPr="00804EF8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885364,0</w:t>
            </w:r>
          </w:p>
        </w:tc>
        <w:tc>
          <w:tcPr>
            <w:tcW w:w="1753" w:type="dxa"/>
            <w:vAlign w:val="center"/>
          </w:tcPr>
          <w:p w:rsidR="00AD0880" w:rsidRPr="00804EF8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869344,3</w:t>
            </w:r>
          </w:p>
        </w:tc>
      </w:tr>
      <w:tr w:rsidR="00AD0880" w:rsidRPr="001B7EC9" w:rsidTr="00592285">
        <w:trPr>
          <w:trHeight w:val="377"/>
          <w:jc w:val="center"/>
        </w:trPr>
        <w:tc>
          <w:tcPr>
            <w:tcW w:w="1755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логовые и неналоговые </w:t>
            </w:r>
          </w:p>
        </w:tc>
        <w:tc>
          <w:tcPr>
            <w:tcW w:w="2410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397571,1</w:t>
            </w:r>
          </w:p>
        </w:tc>
        <w:tc>
          <w:tcPr>
            <w:tcW w:w="1843" w:type="dxa"/>
            <w:vAlign w:val="center"/>
          </w:tcPr>
          <w:p w:rsidR="00AD0880" w:rsidRPr="00C02318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400795,1</w:t>
            </w:r>
          </w:p>
        </w:tc>
        <w:tc>
          <w:tcPr>
            <w:tcW w:w="1701" w:type="dxa"/>
            <w:vAlign w:val="center"/>
          </w:tcPr>
          <w:p w:rsidR="00AD0880" w:rsidRPr="00804EF8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411803,7</w:t>
            </w:r>
          </w:p>
        </w:tc>
        <w:tc>
          <w:tcPr>
            <w:tcW w:w="1753" w:type="dxa"/>
            <w:vAlign w:val="center"/>
          </w:tcPr>
          <w:p w:rsidR="00AD0880" w:rsidRPr="00804EF8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433990,9</w:t>
            </w:r>
          </w:p>
        </w:tc>
      </w:tr>
      <w:tr w:rsidR="00AD0880" w:rsidRPr="001B7EC9" w:rsidTr="00592285">
        <w:trPr>
          <w:trHeight w:val="345"/>
          <w:jc w:val="center"/>
        </w:trPr>
        <w:tc>
          <w:tcPr>
            <w:tcW w:w="1755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езвозмездные поступления</w:t>
            </w:r>
          </w:p>
        </w:tc>
        <w:tc>
          <w:tcPr>
            <w:tcW w:w="2410" w:type="dxa"/>
            <w:vAlign w:val="center"/>
          </w:tcPr>
          <w:p w:rsidR="00AD0880" w:rsidRPr="001B7EC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638503,2</w:t>
            </w:r>
          </w:p>
        </w:tc>
        <w:tc>
          <w:tcPr>
            <w:tcW w:w="1843" w:type="dxa"/>
            <w:vAlign w:val="center"/>
          </w:tcPr>
          <w:p w:rsidR="00AD0880" w:rsidRPr="00C02318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843748,9</w:t>
            </w:r>
          </w:p>
        </w:tc>
        <w:tc>
          <w:tcPr>
            <w:tcW w:w="1701" w:type="dxa"/>
            <w:vAlign w:val="center"/>
          </w:tcPr>
          <w:p w:rsidR="00AD0880" w:rsidRPr="00804EF8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473560,3</w:t>
            </w:r>
          </w:p>
        </w:tc>
        <w:tc>
          <w:tcPr>
            <w:tcW w:w="1753" w:type="dxa"/>
            <w:vAlign w:val="center"/>
          </w:tcPr>
          <w:p w:rsidR="00AD0880" w:rsidRPr="00804EF8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435353,4</w:t>
            </w:r>
          </w:p>
        </w:tc>
      </w:tr>
      <w:tr w:rsidR="00AD0880" w:rsidRPr="001B7EC9" w:rsidTr="00592285">
        <w:trPr>
          <w:trHeight w:val="345"/>
          <w:jc w:val="center"/>
        </w:trPr>
        <w:tc>
          <w:tcPr>
            <w:tcW w:w="1755" w:type="dxa"/>
            <w:vAlign w:val="center"/>
          </w:tcPr>
          <w:p w:rsidR="00AD0880" w:rsidRPr="0029722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22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97229">
              <w:rPr>
                <w:rFonts w:ascii="Times New Roman" w:hAnsi="Times New Roman" w:cs="Times New Roman"/>
                <w:b/>
                <w:sz w:val="20"/>
                <w:szCs w:val="20"/>
              </w:rPr>
              <w:t>сходы</w:t>
            </w:r>
          </w:p>
        </w:tc>
        <w:tc>
          <w:tcPr>
            <w:tcW w:w="2410" w:type="dxa"/>
            <w:vAlign w:val="center"/>
          </w:tcPr>
          <w:p w:rsidR="00AD0880" w:rsidRPr="00F506B3" w:rsidRDefault="00AD0880" w:rsidP="003E24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1068201</w:t>
            </w:r>
            <w:r w:rsidR="003E244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AD0880" w:rsidRPr="00C02318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1246544,0</w:t>
            </w:r>
          </w:p>
        </w:tc>
        <w:tc>
          <w:tcPr>
            <w:tcW w:w="1701" w:type="dxa"/>
            <w:vAlign w:val="center"/>
          </w:tcPr>
          <w:p w:rsidR="00AD0880" w:rsidRPr="00804EF8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884315,7</w:t>
            </w:r>
          </w:p>
        </w:tc>
        <w:tc>
          <w:tcPr>
            <w:tcW w:w="1753" w:type="dxa"/>
            <w:vAlign w:val="center"/>
          </w:tcPr>
          <w:p w:rsidR="00AD0880" w:rsidRPr="00804EF8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867705,3</w:t>
            </w:r>
          </w:p>
        </w:tc>
      </w:tr>
      <w:tr w:rsidR="00AD0880" w:rsidRPr="001B7EC9" w:rsidTr="00592285">
        <w:trPr>
          <w:trHeight w:val="90"/>
          <w:jc w:val="center"/>
        </w:trPr>
        <w:tc>
          <w:tcPr>
            <w:tcW w:w="1755" w:type="dxa"/>
            <w:vAlign w:val="center"/>
          </w:tcPr>
          <w:p w:rsidR="00AD0880" w:rsidRPr="00297229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(+) /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дефицит (-)</w:t>
            </w:r>
          </w:p>
        </w:tc>
        <w:tc>
          <w:tcPr>
            <w:tcW w:w="2410" w:type="dxa"/>
            <w:vAlign w:val="center"/>
          </w:tcPr>
          <w:p w:rsidR="00AD0880" w:rsidRPr="00F506B3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32127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AD0880" w:rsidRPr="00C02318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-2000,0</w:t>
            </w:r>
          </w:p>
        </w:tc>
        <w:tc>
          <w:tcPr>
            <w:tcW w:w="1701" w:type="dxa"/>
            <w:vAlign w:val="center"/>
          </w:tcPr>
          <w:p w:rsidR="00AD0880" w:rsidRPr="00804EF8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1048,3</w:t>
            </w:r>
          </w:p>
        </w:tc>
        <w:tc>
          <w:tcPr>
            <w:tcW w:w="1753" w:type="dxa"/>
            <w:vAlign w:val="center"/>
          </w:tcPr>
          <w:p w:rsidR="00AD0880" w:rsidRPr="00804EF8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1639,0</w:t>
            </w:r>
          </w:p>
        </w:tc>
      </w:tr>
    </w:tbl>
    <w:p w:rsidR="00AD0880" w:rsidRPr="00297229" w:rsidRDefault="00AD0880" w:rsidP="00AD088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бюджет на 2025 год сформирован с дефицитом в объеме 2000,0 тыс. руб. На </w:t>
      </w:r>
      <w:r w:rsidR="00320A72">
        <w:rPr>
          <w:rFonts w:ascii="Times New Roman" w:hAnsi="Times New Roman" w:cs="Times New Roman"/>
          <w:sz w:val="28"/>
          <w:szCs w:val="28"/>
        </w:rPr>
        <w:t xml:space="preserve">плановый период городской бюджет спланирован с профицитом: на </w:t>
      </w:r>
      <w:r>
        <w:rPr>
          <w:rFonts w:ascii="Times New Roman" w:hAnsi="Times New Roman" w:cs="Times New Roman"/>
          <w:sz w:val="28"/>
          <w:szCs w:val="28"/>
        </w:rPr>
        <w:t xml:space="preserve">2026 год в размере 1048,3 тыс. руб., </w:t>
      </w:r>
      <w:r w:rsidR="00320A7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2027 год – 1639,0 тыс. руб.</w:t>
      </w: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в 2025 году по сравнению с </w:t>
      </w:r>
      <w:r w:rsidR="00015F20">
        <w:rPr>
          <w:rFonts w:ascii="Times New Roman" w:hAnsi="Times New Roman" w:cs="Times New Roman"/>
          <w:sz w:val="28"/>
          <w:szCs w:val="28"/>
        </w:rPr>
        <w:t xml:space="preserve">первоначальными показателями </w:t>
      </w:r>
      <w:r>
        <w:rPr>
          <w:rFonts w:ascii="Times New Roman" w:hAnsi="Times New Roman" w:cs="Times New Roman"/>
          <w:sz w:val="28"/>
          <w:szCs w:val="28"/>
        </w:rPr>
        <w:t xml:space="preserve">2024 года увеличиваются на </w:t>
      </w:r>
      <w:r w:rsidR="007B379D">
        <w:rPr>
          <w:rFonts w:ascii="Times New Roman" w:hAnsi="Times New Roman" w:cs="Times New Roman"/>
          <w:sz w:val="28"/>
          <w:szCs w:val="28"/>
        </w:rPr>
        <w:t>61173,0 тыс. руб.</w:t>
      </w:r>
      <w:r w:rsidR="00AC35CC">
        <w:rPr>
          <w:rFonts w:ascii="Times New Roman" w:hAnsi="Times New Roman" w:cs="Times New Roman"/>
          <w:sz w:val="28"/>
          <w:szCs w:val="28"/>
        </w:rPr>
        <w:t xml:space="preserve">, по сравнению с уточненными данными 2024 года на </w:t>
      </w:r>
      <w:r>
        <w:rPr>
          <w:rFonts w:ascii="Times New Roman" w:hAnsi="Times New Roman" w:cs="Times New Roman"/>
          <w:sz w:val="28"/>
          <w:szCs w:val="28"/>
        </w:rPr>
        <w:t>3224,0 тыс. руб. (или на 0,8%), в 2026 году по отношению к 2025 году увеличиваются на 11008,6 тыс. руб. (или на 2,7%), в 2027 году по сравнению с 2026 годом увеличиваются на 22187,2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руб. (5,4%).</w:t>
      </w: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уточненным планом 2024 года в 2025 году безвозмездные поступления увеличиваются на 205245,7 тыс. руб. (или на 32,1%), в 2026 году снижаются по сравнению с 2025 годом на 370188,6 тыс. руб. (на 43,9%), в 2027 году снижаются по сравнению с 202</w:t>
      </w:r>
      <w:r w:rsidR="00AC35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38206,9 тыс. руб. (на 8,1%).</w:t>
      </w: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планируемого объема безвозмездных поступлений в 2025 году по сравнению с планом 2024 года обусловлено увеличением прогноза поступлений субсидий на 66% (с 261878,9 тыс. руб. до 434725,9 тыс. руб.). </w:t>
      </w: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городского бюджета на 2025 год </w:t>
      </w:r>
      <w:r w:rsidR="00AC35CC">
        <w:rPr>
          <w:rFonts w:ascii="Times New Roman" w:hAnsi="Times New Roman" w:cs="Times New Roman"/>
          <w:sz w:val="28"/>
          <w:szCs w:val="28"/>
        </w:rPr>
        <w:t>предусмотрены в объеме 1246544,0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на 178342,</w:t>
      </w:r>
      <w:r w:rsidR="00AC35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 (или на 16,7%) больше по сравнению с уточненным планом 2024 года, расходы на 2026 год прогнозируются в сумме 884315,7 тыс. руб., в 2027 году – в сумме 867705,3 тыс. руб.</w:t>
      </w: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комиссия отмечает, что объемы безвозмездных поступлений в городской бюджет и соответствующих расходов изменятся после принятия областного бюджета на 2025-2027 годы в окончательном варианте и распределения средств областного бюджета между муниципальными образованиями (данная ситуация повторяется ежегодно).</w:t>
      </w: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880" w:rsidRPr="000956A7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956A7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РФ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одновременно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представлены:</w:t>
      </w:r>
    </w:p>
    <w:p w:rsidR="00AD0880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год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880" w:rsidRDefault="00AD0880" w:rsidP="00AD088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муниципального образования на 2025 год 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880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предварительные итоги социально-экономического развития муниципального образования за 6 месяцев 2024 года и ожидаемые итоги социально-экономического развития муниципального образования за текущий финансовый год;</w:t>
      </w:r>
    </w:p>
    <w:p w:rsidR="00AD0880" w:rsidRPr="000956A7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ожидаемого исполнения городского бюджета за текущий финансовый год;</w:t>
      </w:r>
    </w:p>
    <w:p w:rsidR="00AD0880" w:rsidRPr="000956A7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проекты 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муниципальных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095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880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D0880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9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90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представленном проекте решения учтены основные направления налоговой и бюджетной политики на 2025-2027 годы:</w:t>
      </w:r>
    </w:p>
    <w:p w:rsidR="00AD0880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налогового законодательства;</w:t>
      </w:r>
    </w:p>
    <w:p w:rsidR="00AD0880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расходной части городского бюджета с учетом необходимости реализации </w:t>
      </w:r>
      <w:r w:rsidR="004F4518" w:rsidRPr="004F4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проектов</w:t>
      </w:r>
      <w:r w:rsidR="004F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Указом Президента Российской Федерации от 07.05.2024 № 309 «О национальных целях и стратегических задачах развития Российской Федерации на период до 2030 </w:t>
      </w:r>
      <w:r w:rsidR="004F4518" w:rsidRPr="00D95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F45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на перспективу до 2036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880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бюджетных расходов в рамках реализации муниципальных программ в целях обеспечения результативности и эффективности расходования бюджетных ресурсов (обеспечение программно-целевого принципа использования бюджетных средств);</w:t>
      </w:r>
    </w:p>
    <w:p w:rsidR="00AD0880" w:rsidRPr="00A426D0" w:rsidRDefault="00AD0880" w:rsidP="00AD088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3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62C7">
        <w:rPr>
          <w:rFonts w:ascii="Times New Roman" w:eastAsia="Calibri" w:hAnsi="Times New Roman" w:cs="Times New Roman"/>
          <w:sz w:val="28"/>
          <w:szCs w:val="28"/>
        </w:rPr>
        <w:t>казначейскому сопровождению подлежат средства</w:t>
      </w:r>
      <w:r w:rsidRPr="00D862C7">
        <w:rPr>
          <w:rFonts w:ascii="Times New Roman" w:hAnsi="Times New Roman" w:cs="Times New Roman"/>
          <w:sz w:val="28"/>
          <w:szCs w:val="28"/>
        </w:rPr>
        <w:t xml:space="preserve"> по муниципальным контрактам, контрактам (договорам) муниципальных бюджетных учреждений, заключаемым на сумму 50000,0 тыс. рублей и более, предметом которых является ремонт (за исключением ремонта автомобильных дорог местного значения),</w:t>
      </w:r>
      <w:r w:rsidRPr="00A426D0">
        <w:rPr>
          <w:rFonts w:ascii="Times New Roman" w:hAnsi="Times New Roman" w:cs="Times New Roman"/>
          <w:sz w:val="28"/>
          <w:szCs w:val="28"/>
        </w:rPr>
        <w:t xml:space="preserve"> капитальный ремонт, реконструкция, в том числе с элементами реставрации, техническое перевооружение и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880" w:rsidRDefault="00AD0880" w:rsidP="00AD0880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сохранения действующих мер социальной поддержки населения;</w:t>
      </w:r>
    </w:p>
    <w:p w:rsidR="00AD0880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направления долговой политики, в том числе с</w:t>
      </w:r>
      <w:r w:rsidR="00812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исполнение обязательств по уплате процентов и погашению основного долга, соблюдение условий предоставления и использования бюджетных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880" w:rsidRPr="00C9042C" w:rsidRDefault="00AD0880" w:rsidP="00AD08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880" w:rsidRPr="00C8611B" w:rsidRDefault="004F4518" w:rsidP="004F451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5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</w:t>
      </w:r>
      <w:r w:rsidR="00320A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D0880" w:rsidRPr="00C8611B">
        <w:rPr>
          <w:rFonts w:ascii="Times New Roman" w:hAnsi="Times New Roman"/>
          <w:b/>
          <w:sz w:val="28"/>
          <w:szCs w:val="28"/>
        </w:rPr>
        <w:t>Результаты проверки и анализа прогноза доходов городского бюджета на 202</w:t>
      </w:r>
      <w:r w:rsidR="00AD0880">
        <w:rPr>
          <w:rFonts w:ascii="Times New Roman" w:hAnsi="Times New Roman"/>
          <w:b/>
          <w:sz w:val="28"/>
          <w:szCs w:val="28"/>
        </w:rPr>
        <w:t>5</w:t>
      </w:r>
      <w:r w:rsidR="00AD0880" w:rsidRPr="00C8611B">
        <w:rPr>
          <w:rFonts w:ascii="Times New Roman" w:hAnsi="Times New Roman"/>
          <w:b/>
          <w:sz w:val="28"/>
          <w:szCs w:val="28"/>
        </w:rPr>
        <w:t>-202</w:t>
      </w:r>
      <w:r w:rsidR="00AD0880">
        <w:rPr>
          <w:rFonts w:ascii="Times New Roman" w:hAnsi="Times New Roman"/>
          <w:b/>
          <w:sz w:val="28"/>
          <w:szCs w:val="28"/>
        </w:rPr>
        <w:t>7</w:t>
      </w:r>
      <w:r w:rsidR="00AD0880" w:rsidRPr="00C8611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AD0880" w:rsidRPr="00832A49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C0">
        <w:rPr>
          <w:rFonts w:ascii="Times New Roman" w:hAnsi="Times New Roman" w:cs="Times New Roman"/>
          <w:b/>
          <w:sz w:val="28"/>
          <w:szCs w:val="28"/>
        </w:rPr>
        <w:t>О</w:t>
      </w:r>
      <w:r w:rsidRPr="001B7EC9">
        <w:rPr>
          <w:rFonts w:ascii="Times New Roman" w:hAnsi="Times New Roman" w:cs="Times New Roman"/>
          <w:b/>
          <w:sz w:val="28"/>
          <w:szCs w:val="28"/>
        </w:rPr>
        <w:t xml:space="preserve">бщий объем доходов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1B7EC9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 пр</w:t>
      </w:r>
      <w:r>
        <w:rPr>
          <w:rFonts w:ascii="Times New Roman" w:hAnsi="Times New Roman" w:cs="Times New Roman"/>
          <w:sz w:val="28"/>
          <w:szCs w:val="28"/>
        </w:rPr>
        <w:t>огнозируется</w:t>
      </w:r>
      <w:r w:rsidRPr="001B7EC9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1244544,0</w:t>
      </w:r>
      <w:r w:rsidRPr="0007076B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F4518">
        <w:rPr>
          <w:rFonts w:ascii="Times New Roman" w:hAnsi="Times New Roman" w:cs="Times New Roman"/>
          <w:sz w:val="28"/>
          <w:szCs w:val="28"/>
        </w:rPr>
        <w:t xml:space="preserve">350480,3 тыс. руб. больше первоначального плана на 2024 год и на </w:t>
      </w:r>
      <w:r>
        <w:rPr>
          <w:rFonts w:ascii="Times New Roman" w:hAnsi="Times New Roman" w:cs="Times New Roman"/>
          <w:sz w:val="28"/>
          <w:szCs w:val="28"/>
        </w:rPr>
        <w:t>208469,6 тыс.</w:t>
      </w:r>
      <w:r w:rsidRPr="001B7EC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больше уточненного плана </w:t>
      </w:r>
      <w:r w:rsidRPr="001B7E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 года</w:t>
      </w:r>
      <w:r w:rsidRPr="001B7E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Увеличение прогнозируемого объема доходов обусловлено планируемым увеличением безвозмездных поступлений.</w:t>
      </w:r>
    </w:p>
    <w:p w:rsidR="00AD0880" w:rsidRDefault="008E799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D0880" w:rsidRPr="001B7EC9">
        <w:rPr>
          <w:rFonts w:ascii="Times New Roman" w:hAnsi="Times New Roman" w:cs="Times New Roman"/>
          <w:sz w:val="28"/>
          <w:szCs w:val="28"/>
        </w:rPr>
        <w:t xml:space="preserve"> 202</w:t>
      </w:r>
      <w:r w:rsidR="00AD0880">
        <w:rPr>
          <w:rFonts w:ascii="Times New Roman" w:hAnsi="Times New Roman" w:cs="Times New Roman"/>
          <w:sz w:val="28"/>
          <w:szCs w:val="28"/>
        </w:rPr>
        <w:t>6</w:t>
      </w:r>
      <w:r w:rsidR="00AD0880" w:rsidRPr="001B7EC9">
        <w:rPr>
          <w:rFonts w:ascii="Times New Roman" w:hAnsi="Times New Roman" w:cs="Times New Roman"/>
          <w:sz w:val="28"/>
          <w:szCs w:val="28"/>
        </w:rPr>
        <w:t xml:space="preserve"> год доходы планируются в сумме </w:t>
      </w:r>
      <w:r w:rsidR="00AD0880">
        <w:rPr>
          <w:rFonts w:ascii="Times New Roman" w:hAnsi="Times New Roman" w:cs="Times New Roman"/>
          <w:sz w:val="28"/>
          <w:szCs w:val="28"/>
        </w:rPr>
        <w:t>885364,0 тыс.</w:t>
      </w:r>
      <w:r w:rsidR="00AD0880" w:rsidRPr="001B7EC9">
        <w:rPr>
          <w:rFonts w:ascii="Times New Roman" w:hAnsi="Times New Roman" w:cs="Times New Roman"/>
          <w:sz w:val="28"/>
          <w:szCs w:val="28"/>
        </w:rPr>
        <w:t xml:space="preserve"> руб</w:t>
      </w:r>
      <w:r w:rsidR="00AD0880">
        <w:rPr>
          <w:rFonts w:ascii="Times New Roman" w:hAnsi="Times New Roman" w:cs="Times New Roman"/>
          <w:sz w:val="28"/>
          <w:szCs w:val="28"/>
        </w:rPr>
        <w:t>. со снижением к 2025 году на 28,</w:t>
      </w:r>
      <w:r w:rsidR="004F4518">
        <w:rPr>
          <w:rFonts w:ascii="Times New Roman" w:hAnsi="Times New Roman" w:cs="Times New Roman"/>
          <w:sz w:val="28"/>
          <w:szCs w:val="28"/>
        </w:rPr>
        <w:t>9</w:t>
      </w:r>
      <w:r w:rsidR="00AD0880">
        <w:rPr>
          <w:rFonts w:ascii="Times New Roman" w:hAnsi="Times New Roman" w:cs="Times New Roman"/>
          <w:sz w:val="28"/>
          <w:szCs w:val="28"/>
        </w:rPr>
        <w:t>%</w:t>
      </w:r>
      <w:r w:rsidR="00AD0880" w:rsidRPr="001B7E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D0880" w:rsidRPr="001B7EC9">
        <w:rPr>
          <w:rFonts w:ascii="Times New Roman" w:hAnsi="Times New Roman" w:cs="Times New Roman"/>
          <w:sz w:val="28"/>
          <w:szCs w:val="28"/>
        </w:rPr>
        <w:t xml:space="preserve"> 202</w:t>
      </w:r>
      <w:r w:rsidR="00AD0880">
        <w:rPr>
          <w:rFonts w:ascii="Times New Roman" w:hAnsi="Times New Roman" w:cs="Times New Roman"/>
          <w:sz w:val="28"/>
          <w:szCs w:val="28"/>
        </w:rPr>
        <w:t>7</w:t>
      </w:r>
      <w:r w:rsidR="00AD0880" w:rsidRPr="001B7EC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D0880">
        <w:rPr>
          <w:rFonts w:ascii="Times New Roman" w:hAnsi="Times New Roman" w:cs="Times New Roman"/>
          <w:sz w:val="28"/>
          <w:szCs w:val="28"/>
        </w:rPr>
        <w:t>869344,3 тыс.</w:t>
      </w:r>
      <w:r w:rsidR="00AD0880" w:rsidRPr="001B7EC9">
        <w:rPr>
          <w:rFonts w:ascii="Times New Roman" w:hAnsi="Times New Roman" w:cs="Times New Roman"/>
          <w:sz w:val="28"/>
          <w:szCs w:val="28"/>
        </w:rPr>
        <w:t xml:space="preserve"> руб.</w:t>
      </w:r>
      <w:r w:rsidR="00AD0880">
        <w:rPr>
          <w:rFonts w:ascii="Times New Roman" w:hAnsi="Times New Roman" w:cs="Times New Roman"/>
          <w:sz w:val="28"/>
          <w:szCs w:val="28"/>
        </w:rPr>
        <w:t xml:space="preserve"> со снижением к 2026 году </w:t>
      </w:r>
      <w:proofErr w:type="gramStart"/>
      <w:r w:rsidR="00AD08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D0880">
        <w:rPr>
          <w:rFonts w:ascii="Times New Roman" w:hAnsi="Times New Roman" w:cs="Times New Roman"/>
          <w:sz w:val="28"/>
          <w:szCs w:val="28"/>
        </w:rPr>
        <w:t xml:space="preserve"> 1,8%.</w:t>
      </w:r>
    </w:p>
    <w:p w:rsidR="00AD0880" w:rsidRPr="00812491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Структура доходной части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B7EC9">
        <w:rPr>
          <w:rFonts w:ascii="Times New Roman" w:hAnsi="Times New Roman" w:cs="Times New Roman"/>
          <w:sz w:val="28"/>
          <w:szCs w:val="28"/>
        </w:rPr>
        <w:t xml:space="preserve"> бюджета в 20</w:t>
      </w:r>
      <w:r>
        <w:rPr>
          <w:rFonts w:ascii="Times New Roman" w:hAnsi="Times New Roman" w:cs="Times New Roman"/>
          <w:sz w:val="28"/>
          <w:szCs w:val="28"/>
        </w:rPr>
        <w:t>25-2027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годах характеризуется следующими данными (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>):</w:t>
      </w: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567"/>
        <w:gridCol w:w="992"/>
        <w:gridCol w:w="709"/>
        <w:gridCol w:w="992"/>
        <w:gridCol w:w="709"/>
        <w:gridCol w:w="992"/>
        <w:gridCol w:w="709"/>
        <w:gridCol w:w="992"/>
        <w:gridCol w:w="567"/>
      </w:tblGrid>
      <w:tr w:rsidR="00AD0880" w:rsidRPr="00EC5D5C" w:rsidTr="00592285">
        <w:trPr>
          <w:cantSplit/>
          <w:trHeight w:val="346"/>
        </w:trPr>
        <w:tc>
          <w:tcPr>
            <w:tcW w:w="1418" w:type="dxa"/>
            <w:vMerge w:val="restart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59" w:type="dxa"/>
            <w:gridSpan w:val="2"/>
          </w:tcPr>
          <w:p w:rsidR="00AD08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Первоначальный план </w:t>
            </w:r>
          </w:p>
          <w:p w:rsidR="00AD0880" w:rsidRPr="002A7B3B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3B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2A7B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1701" w:type="dxa"/>
            <w:gridSpan w:val="2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E799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 w:cs="Times New Roman"/>
                <w:sz w:val="18"/>
                <w:szCs w:val="18"/>
              </w:rPr>
              <w:t xml:space="preserve">(решение В-П городской Думы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gramEnd"/>
          </w:p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F45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4/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20)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(прогноз)</w:t>
            </w:r>
          </w:p>
        </w:tc>
        <w:tc>
          <w:tcPr>
            <w:tcW w:w="1701" w:type="dxa"/>
            <w:gridSpan w:val="2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(прогноз)</w:t>
            </w:r>
          </w:p>
        </w:tc>
        <w:tc>
          <w:tcPr>
            <w:tcW w:w="1559" w:type="dxa"/>
            <w:gridSpan w:val="2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2027 </w:t>
            </w: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(прогноз)</w:t>
            </w:r>
          </w:p>
        </w:tc>
      </w:tr>
      <w:tr w:rsidR="00AD0880" w:rsidRPr="00EC5D5C" w:rsidTr="00592285">
        <w:trPr>
          <w:cantSplit/>
          <w:trHeight w:val="226"/>
        </w:trPr>
        <w:tc>
          <w:tcPr>
            <w:tcW w:w="1418" w:type="dxa"/>
            <w:vMerge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567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ес, %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ес, %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ес,</w:t>
            </w:r>
          </w:p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ес,</w:t>
            </w:r>
          </w:p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567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proofErr w:type="gramStart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gram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AD0880" w:rsidRPr="00EC5D5C" w:rsidTr="00592285">
        <w:trPr>
          <w:trHeight w:val="377"/>
        </w:trPr>
        <w:tc>
          <w:tcPr>
            <w:tcW w:w="1418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339622,1</w:t>
            </w:r>
          </w:p>
        </w:tc>
        <w:tc>
          <w:tcPr>
            <w:tcW w:w="567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397571,1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400795,1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411803,7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433990,9</w:t>
            </w:r>
          </w:p>
        </w:tc>
        <w:tc>
          <w:tcPr>
            <w:tcW w:w="567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</w:tr>
      <w:tr w:rsidR="00AD0880" w:rsidRPr="00EC5D5C" w:rsidTr="00592285">
        <w:trPr>
          <w:trHeight w:val="345"/>
        </w:trPr>
        <w:tc>
          <w:tcPr>
            <w:tcW w:w="1418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554441,6</w:t>
            </w:r>
          </w:p>
        </w:tc>
        <w:tc>
          <w:tcPr>
            <w:tcW w:w="567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638503,2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843748,9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473560,3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435353,4</w:t>
            </w:r>
          </w:p>
        </w:tc>
        <w:tc>
          <w:tcPr>
            <w:tcW w:w="567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</w:tr>
      <w:tr w:rsidR="00AD0880" w:rsidRPr="00EC5D5C" w:rsidTr="00592285">
        <w:trPr>
          <w:trHeight w:val="90"/>
        </w:trPr>
        <w:tc>
          <w:tcPr>
            <w:tcW w:w="1418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894063,7</w:t>
            </w:r>
          </w:p>
        </w:tc>
        <w:tc>
          <w:tcPr>
            <w:tcW w:w="567" w:type="dxa"/>
            <w:vAlign w:val="center"/>
          </w:tcPr>
          <w:p w:rsidR="00AD0880" w:rsidRPr="002A7B3B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B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1036074,3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1244544,0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885364,0</w:t>
            </w:r>
          </w:p>
        </w:tc>
        <w:tc>
          <w:tcPr>
            <w:tcW w:w="709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869344,3</w:t>
            </w:r>
          </w:p>
        </w:tc>
        <w:tc>
          <w:tcPr>
            <w:tcW w:w="567" w:type="dxa"/>
            <w:vAlign w:val="center"/>
          </w:tcPr>
          <w:p w:rsidR="00AD0880" w:rsidRPr="00EC5D5C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:rsidR="00AD0880" w:rsidRPr="00E0043E" w:rsidRDefault="00AD0880" w:rsidP="00AD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518" w:rsidRDefault="00AD0880" w:rsidP="00AD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2025 году прогнозируется уменьшение доли налоговых и неналоговых доходов до 32,2% при одновременном увеличении доли безвозмездных поступлений до 67,8%. </w:t>
      </w:r>
      <w:r w:rsidRPr="001B7EC9">
        <w:rPr>
          <w:rFonts w:ascii="Times New Roman" w:hAnsi="Times New Roman" w:cs="Times New Roman"/>
          <w:sz w:val="28"/>
          <w:szCs w:val="28"/>
        </w:rPr>
        <w:t xml:space="preserve">В </w:t>
      </w:r>
      <w:r w:rsidR="004F4518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Pr="001B7EC9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1B7EC9">
        <w:rPr>
          <w:rFonts w:ascii="Times New Roman" w:hAnsi="Times New Roman" w:cs="Times New Roman"/>
          <w:sz w:val="28"/>
          <w:szCs w:val="28"/>
        </w:rPr>
        <w:t xml:space="preserve"> доли </w:t>
      </w:r>
      <w:r w:rsidR="004F4518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1B7EC9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B7EC9">
        <w:rPr>
          <w:rFonts w:ascii="Times New Roman" w:hAnsi="Times New Roman" w:cs="Times New Roman"/>
          <w:sz w:val="28"/>
          <w:szCs w:val="28"/>
        </w:rPr>
        <w:t xml:space="preserve"> бюджета с </w:t>
      </w:r>
      <w:r>
        <w:rPr>
          <w:rFonts w:ascii="Times New Roman" w:hAnsi="Times New Roman" w:cs="Times New Roman"/>
          <w:sz w:val="28"/>
          <w:szCs w:val="28"/>
        </w:rPr>
        <w:t>32,2</w:t>
      </w:r>
      <w:r w:rsidRPr="001B7EC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</w:t>
      </w:r>
      <w:r w:rsidRPr="001B7E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7EC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46,5</w:t>
      </w:r>
      <w:r w:rsidRPr="001B7EC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в 2026 году и </w:t>
      </w:r>
      <w:r w:rsidR="004F451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49,9% </w:t>
      </w:r>
      <w:r w:rsidR="004F45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2027 году</w:t>
      </w:r>
      <w:r w:rsidR="004F45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0880" w:rsidRDefault="00AD0880" w:rsidP="00AD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19">
        <w:rPr>
          <w:rFonts w:ascii="Times New Roman" w:hAnsi="Times New Roman" w:cs="Times New Roman"/>
          <w:sz w:val="28"/>
          <w:szCs w:val="28"/>
        </w:rPr>
        <w:t xml:space="preserve">Учитывая, что безвозмездные поступления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F55119">
        <w:rPr>
          <w:rFonts w:ascii="Times New Roman" w:hAnsi="Times New Roman" w:cs="Times New Roman"/>
          <w:sz w:val="28"/>
          <w:szCs w:val="28"/>
        </w:rPr>
        <w:t xml:space="preserve"> бюджета будут уточнены после принятия </w:t>
      </w:r>
      <w:r>
        <w:rPr>
          <w:rFonts w:ascii="Times New Roman" w:hAnsi="Times New Roman" w:cs="Times New Roman"/>
          <w:sz w:val="28"/>
          <w:szCs w:val="28"/>
        </w:rPr>
        <w:t>Закона Кировской области</w:t>
      </w:r>
      <w:r w:rsidRPr="00F55119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55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областном</w:t>
      </w:r>
      <w:r w:rsidRPr="00F55119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51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511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119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и в последующем в течение года со</w:t>
      </w:r>
      <w:r w:rsidRPr="00F55119">
        <w:rPr>
          <w:rFonts w:ascii="Times New Roman" w:hAnsi="Times New Roman" w:cs="Times New Roman"/>
          <w:sz w:val="28"/>
          <w:szCs w:val="28"/>
        </w:rPr>
        <w:t>отношение доли собственных доходов и безвозмездных поступлений изменится.</w:t>
      </w:r>
    </w:p>
    <w:p w:rsidR="00AD0880" w:rsidRDefault="00AD0880" w:rsidP="00AD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880" w:rsidRDefault="00AD0880" w:rsidP="00AD0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В разрезе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 w:rsidRPr="001B7EC9">
        <w:rPr>
          <w:rFonts w:ascii="Times New Roman" w:hAnsi="Times New Roman" w:cs="Times New Roman"/>
          <w:sz w:val="28"/>
          <w:szCs w:val="28"/>
        </w:rPr>
        <w:t xml:space="preserve"> доходов структура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B7EC9">
        <w:rPr>
          <w:rFonts w:ascii="Times New Roman" w:hAnsi="Times New Roman" w:cs="Times New Roman"/>
          <w:sz w:val="28"/>
          <w:szCs w:val="28"/>
        </w:rPr>
        <w:t xml:space="preserve"> бюджета характеризуется следующими данными</w:t>
      </w:r>
      <w:r w:rsidR="004F4518">
        <w:rPr>
          <w:rFonts w:ascii="Times New Roman" w:hAnsi="Times New Roman" w:cs="Times New Roman"/>
          <w:sz w:val="28"/>
          <w:szCs w:val="28"/>
        </w:rPr>
        <w:t>:</w:t>
      </w:r>
      <w:r w:rsidR="004F4518">
        <w:rPr>
          <w:rFonts w:ascii="Times New Roman" w:hAnsi="Times New Roman" w:cs="Times New Roman"/>
          <w:sz w:val="28"/>
          <w:szCs w:val="28"/>
        </w:rPr>
        <w:tab/>
      </w:r>
      <w:r w:rsidR="004F4518">
        <w:rPr>
          <w:rFonts w:ascii="Times New Roman" w:hAnsi="Times New Roman" w:cs="Times New Roman"/>
          <w:sz w:val="28"/>
          <w:szCs w:val="28"/>
        </w:rPr>
        <w:tab/>
      </w:r>
      <w:r w:rsidR="004F4518">
        <w:rPr>
          <w:rFonts w:ascii="Times New Roman" w:hAnsi="Times New Roman" w:cs="Times New Roman"/>
          <w:sz w:val="28"/>
          <w:szCs w:val="28"/>
        </w:rPr>
        <w:tab/>
      </w:r>
      <w:r w:rsidR="004F4518">
        <w:rPr>
          <w:rFonts w:ascii="Times New Roman" w:hAnsi="Times New Roman" w:cs="Times New Roman"/>
          <w:sz w:val="28"/>
          <w:szCs w:val="28"/>
        </w:rPr>
        <w:tab/>
      </w:r>
      <w:r w:rsidR="004F4518">
        <w:rPr>
          <w:rFonts w:ascii="Times New Roman" w:hAnsi="Times New Roman" w:cs="Times New Roman"/>
          <w:sz w:val="28"/>
          <w:szCs w:val="28"/>
        </w:rPr>
        <w:tab/>
      </w:r>
      <w:r w:rsidRPr="001B7E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f"/>
        <w:tblW w:w="9356" w:type="dxa"/>
        <w:tblInd w:w="108" w:type="dxa"/>
        <w:tblLayout w:type="fixed"/>
        <w:tblLook w:val="04A0"/>
      </w:tblPr>
      <w:tblGrid>
        <w:gridCol w:w="1345"/>
        <w:gridCol w:w="1065"/>
        <w:gridCol w:w="1134"/>
        <w:gridCol w:w="709"/>
        <w:gridCol w:w="992"/>
        <w:gridCol w:w="709"/>
        <w:gridCol w:w="992"/>
        <w:gridCol w:w="709"/>
        <w:gridCol w:w="992"/>
        <w:gridCol w:w="709"/>
      </w:tblGrid>
      <w:tr w:rsidR="00AD0880" w:rsidTr="00592285">
        <w:tc>
          <w:tcPr>
            <w:tcW w:w="1345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4240E5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065" w:type="dxa"/>
          </w:tcPr>
          <w:p w:rsidR="00AD0880" w:rsidRPr="002A7B3B" w:rsidRDefault="00AD0880" w:rsidP="005922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B3B">
              <w:rPr>
                <w:rFonts w:ascii="Times New Roman" w:hAnsi="Times New Roman"/>
                <w:sz w:val="18"/>
                <w:szCs w:val="18"/>
              </w:rPr>
              <w:t>Первоначальный план 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A7B3B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AD0880" w:rsidRPr="004240E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от 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>4 №</w:t>
            </w:r>
            <w:r w:rsidR="008E79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4/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20)</w:t>
            </w:r>
          </w:p>
        </w:tc>
        <w:tc>
          <w:tcPr>
            <w:tcW w:w="709" w:type="dxa"/>
          </w:tcPr>
          <w:p w:rsidR="00AD0880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Уд.</w:t>
            </w:r>
          </w:p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2025 год</w:t>
            </w:r>
          </w:p>
        </w:tc>
        <w:tc>
          <w:tcPr>
            <w:tcW w:w="709" w:type="dxa"/>
          </w:tcPr>
          <w:p w:rsidR="00AD0880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Уд.</w:t>
            </w:r>
          </w:p>
          <w:p w:rsidR="00AD0880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вес,  </w:t>
            </w:r>
          </w:p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%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2026 год</w:t>
            </w:r>
          </w:p>
        </w:tc>
        <w:tc>
          <w:tcPr>
            <w:tcW w:w="709" w:type="dxa"/>
          </w:tcPr>
          <w:p w:rsidR="00AD0880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Уд.</w:t>
            </w:r>
          </w:p>
          <w:p w:rsidR="00AD0880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вес, </w:t>
            </w:r>
          </w:p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2027 год</w:t>
            </w:r>
          </w:p>
        </w:tc>
        <w:tc>
          <w:tcPr>
            <w:tcW w:w="709" w:type="dxa"/>
          </w:tcPr>
          <w:p w:rsidR="00AD0880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Уд.</w:t>
            </w:r>
          </w:p>
          <w:p w:rsidR="00AD0880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вес, </w:t>
            </w:r>
          </w:p>
          <w:p w:rsidR="00AD0880" w:rsidRPr="0070358D" w:rsidRDefault="00AD0880" w:rsidP="005922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</w:tr>
      <w:tr w:rsidR="00AD0880" w:rsidTr="00592285">
        <w:tc>
          <w:tcPr>
            <w:tcW w:w="1345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 w:rsidRPr="004240E5"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065" w:type="dxa"/>
          </w:tcPr>
          <w:p w:rsidR="00AD0880" w:rsidRPr="0070358D" w:rsidRDefault="00AD0880" w:rsidP="005922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267859,0</w:t>
            </w:r>
          </w:p>
        </w:tc>
        <w:tc>
          <w:tcPr>
            <w:tcW w:w="1134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313501,0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335137,0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358353,7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380616,9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</w:tr>
      <w:tr w:rsidR="00AD0880" w:rsidTr="00592285">
        <w:tc>
          <w:tcPr>
            <w:tcW w:w="1345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065" w:type="dxa"/>
          </w:tcPr>
          <w:p w:rsidR="00AD0880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71763,1</w:t>
            </w:r>
          </w:p>
        </w:tc>
        <w:tc>
          <w:tcPr>
            <w:tcW w:w="1134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84070,1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65658,1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53450,0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53374,0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AD0880" w:rsidTr="00592285">
        <w:tc>
          <w:tcPr>
            <w:tcW w:w="1345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65" w:type="dxa"/>
          </w:tcPr>
          <w:p w:rsidR="00AD0880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339622,1</w:t>
            </w:r>
          </w:p>
        </w:tc>
        <w:tc>
          <w:tcPr>
            <w:tcW w:w="1134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397571,1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400795,1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411803,7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433990,9</w:t>
            </w:r>
          </w:p>
        </w:tc>
        <w:tc>
          <w:tcPr>
            <w:tcW w:w="709" w:type="dxa"/>
          </w:tcPr>
          <w:p w:rsidR="00AD0880" w:rsidRPr="004240E5" w:rsidRDefault="00AD0880" w:rsidP="00592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AD0880" w:rsidRPr="00780608" w:rsidRDefault="00AD0880" w:rsidP="00AD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0880" w:rsidRDefault="00AD0880" w:rsidP="00AD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2025-2027 годах сохраняется тенденция роста объема налоговых доходов</w:t>
      </w:r>
      <w:r w:rsidRPr="001B7E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Объем н</w:t>
      </w:r>
      <w:r w:rsidRPr="001B7EC9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7EC9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 снижается.</w:t>
      </w:r>
    </w:p>
    <w:p w:rsidR="00F21AE8" w:rsidRDefault="00F21AE8" w:rsidP="00AD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880" w:rsidRPr="001B7EC9" w:rsidRDefault="00AD0880" w:rsidP="00AD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годах</w:t>
      </w:r>
    </w:p>
    <w:p w:rsidR="00AD0880" w:rsidRPr="00832A49" w:rsidRDefault="00AD0880" w:rsidP="00A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880" w:rsidRPr="00DC1C8C" w:rsidRDefault="00AD0880" w:rsidP="00AD0880">
      <w:pPr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проекту решения доходы городского бюджета на 2025-2027 годы сформированы по показателям прогнозируемых объемов поступлений, представленных главными администраторами доходов городского бюджета. Прогноз налоговых и неналоговых доходов составлен на основе базового (второго) варианта показателей прогноза социально-экономического развития муниципального образования. При формировании доходов учтены положения принятых и планируемых к принятию федеральных и областных законов, регулирующих налоговые и бюджетные правоотношения, вступающие в силу с 1 января 2025 года, </w:t>
      </w:r>
      <w:r w:rsidRPr="00DC1C8C">
        <w:rPr>
          <w:rFonts w:ascii="Times New Roman" w:hAnsi="Times New Roman" w:cs="Times New Roman"/>
          <w:bCs/>
          <w:sz w:val="28"/>
          <w:szCs w:val="28"/>
        </w:rPr>
        <w:t>в том числе предусматривающие изменение налоговых ставок и нормативов отчислений в бюджет отдельных налоговых доходов.</w:t>
      </w:r>
    </w:p>
    <w:p w:rsidR="00AD0880" w:rsidRPr="00335D8E" w:rsidRDefault="00AD0880" w:rsidP="00AD08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880" w:rsidRDefault="00AD0880" w:rsidP="00AD08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 спрогнозированы в объеме </w:t>
      </w:r>
      <w:r>
        <w:rPr>
          <w:rFonts w:ascii="Times New Roman" w:hAnsi="Times New Roman" w:cs="Times New Roman"/>
          <w:sz w:val="28"/>
          <w:szCs w:val="28"/>
        </w:rPr>
        <w:t>335137,0 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больше уточненного плана 2024 года на 21636,0 тыс. руб., или на 6,9%.</w:t>
      </w:r>
    </w:p>
    <w:p w:rsidR="00AD0880" w:rsidRDefault="00AD0880" w:rsidP="00AD08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Рост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к уточненному плану 2024 года </w:t>
      </w:r>
      <w:r w:rsidRPr="001B7EC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в основном за счет увеличения налога на доходы физических лиц на 30877,0 тыс. руб. (или на 14,7%), налогу, взимаемому в связи с применением патентной системы налогообложения</w:t>
      </w:r>
      <w:r w:rsidR="00350A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5833,0 тыс. руб., или на 54,5%.</w:t>
      </w:r>
    </w:p>
    <w:p w:rsidR="00AD0880" w:rsidRDefault="00AD0880" w:rsidP="00AD08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A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6BA5">
        <w:rPr>
          <w:rFonts w:ascii="Times New Roman" w:hAnsi="Times New Roman" w:cs="Times New Roman"/>
          <w:sz w:val="28"/>
          <w:szCs w:val="28"/>
        </w:rPr>
        <w:t xml:space="preserve"> году налоговые</w:t>
      </w:r>
      <w:r>
        <w:rPr>
          <w:rFonts w:ascii="Times New Roman" w:hAnsi="Times New Roman" w:cs="Times New Roman"/>
          <w:sz w:val="28"/>
          <w:szCs w:val="28"/>
        </w:rPr>
        <w:t xml:space="preserve"> доходы планируются с ростом к прогнозу</w:t>
      </w:r>
      <w:r w:rsidRPr="001B7E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6,9</w:t>
      </w:r>
      <w:r w:rsidRPr="001B7EC9">
        <w:rPr>
          <w:rFonts w:ascii="Times New Roman" w:hAnsi="Times New Roman" w:cs="Times New Roman"/>
          <w:sz w:val="28"/>
          <w:szCs w:val="28"/>
        </w:rPr>
        <w:t>%,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году по отношению к прогнозу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0A5D">
        <w:rPr>
          <w:rFonts w:ascii="Times New Roman" w:hAnsi="Times New Roman" w:cs="Times New Roman"/>
          <w:sz w:val="28"/>
          <w:szCs w:val="28"/>
        </w:rPr>
        <w:t xml:space="preserve">- </w:t>
      </w:r>
      <w:r w:rsidRPr="001B7EC9">
        <w:rPr>
          <w:rFonts w:ascii="Times New Roman" w:hAnsi="Times New Roman" w:cs="Times New Roman"/>
          <w:sz w:val="28"/>
          <w:szCs w:val="28"/>
        </w:rPr>
        <w:t xml:space="preserve">с ростом на 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1B7EC9">
        <w:rPr>
          <w:rFonts w:ascii="Times New Roman" w:hAnsi="Times New Roman" w:cs="Times New Roman"/>
          <w:sz w:val="28"/>
          <w:szCs w:val="28"/>
        </w:rPr>
        <w:t xml:space="preserve">%. </w:t>
      </w:r>
      <w:r w:rsidRPr="00230EE9">
        <w:rPr>
          <w:rFonts w:ascii="Times New Roman" w:hAnsi="Times New Roman" w:cs="Times New Roman"/>
          <w:sz w:val="28"/>
          <w:szCs w:val="28"/>
        </w:rPr>
        <w:t>Основное влияние окажет рост налога на доходы физических лиц.</w:t>
      </w:r>
    </w:p>
    <w:p w:rsidR="00AD0880" w:rsidRDefault="00AD0880" w:rsidP="00AD08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Структура налоговых доходов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B7EC9">
        <w:rPr>
          <w:rFonts w:ascii="Times New Roman" w:hAnsi="Times New Roman" w:cs="Times New Roman"/>
          <w:sz w:val="28"/>
          <w:szCs w:val="28"/>
        </w:rPr>
        <w:t xml:space="preserve"> бюджета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B7EC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 (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>):</w:t>
      </w:r>
    </w:p>
    <w:p w:rsidR="00AD0880" w:rsidRPr="00E0043E" w:rsidRDefault="00AD0880" w:rsidP="00AD08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92"/>
        <w:gridCol w:w="992"/>
        <w:gridCol w:w="709"/>
        <w:gridCol w:w="992"/>
        <w:gridCol w:w="709"/>
        <w:gridCol w:w="992"/>
        <w:gridCol w:w="709"/>
        <w:gridCol w:w="992"/>
        <w:gridCol w:w="709"/>
      </w:tblGrid>
      <w:tr w:rsidR="00AD0880" w:rsidRPr="001B7EC9" w:rsidTr="00592285">
        <w:trPr>
          <w:cantSplit/>
          <w:trHeight w:val="285"/>
        </w:trPr>
        <w:tc>
          <w:tcPr>
            <w:tcW w:w="1985" w:type="dxa"/>
            <w:vMerge w:val="restart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CE6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80C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первоначальный план</w:t>
            </w:r>
          </w:p>
        </w:tc>
        <w:tc>
          <w:tcPr>
            <w:tcW w:w="1701" w:type="dxa"/>
            <w:gridSpan w:val="2"/>
            <w:vAlign w:val="center"/>
          </w:tcPr>
          <w:p w:rsidR="00AD0880" w:rsidRPr="00EC5D5C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D5C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E799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 w:cs="Times New Roman"/>
                <w:sz w:val="18"/>
                <w:szCs w:val="18"/>
              </w:rPr>
              <w:t xml:space="preserve">(решение В-П городской Думы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gramEnd"/>
          </w:p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50A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34/3</w:t>
            </w:r>
            <w:r w:rsidRPr="00EC5D5C">
              <w:rPr>
                <w:rFonts w:ascii="Times New Roman" w:hAnsi="Times New Roman" w:cs="Times New Roman"/>
                <w:sz w:val="18"/>
                <w:szCs w:val="18"/>
              </w:rPr>
              <w:t>20)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(прогноз)</w:t>
            </w:r>
          </w:p>
        </w:tc>
      </w:tr>
      <w:tr w:rsidR="00AD0880" w:rsidRPr="001B7EC9" w:rsidTr="00592285">
        <w:trPr>
          <w:cantSplit/>
          <w:trHeight w:val="421"/>
        </w:trPr>
        <w:tc>
          <w:tcPr>
            <w:tcW w:w="1985" w:type="dxa"/>
            <w:vMerge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992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992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992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ес, %</w:t>
            </w:r>
          </w:p>
        </w:tc>
      </w:tr>
      <w:tr w:rsidR="00AD0880" w:rsidRPr="001B7EC9" w:rsidTr="00592285">
        <w:trPr>
          <w:trHeight w:val="341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доходы  всего, в том числе:</w:t>
            </w:r>
          </w:p>
        </w:tc>
        <w:tc>
          <w:tcPr>
            <w:tcW w:w="992" w:type="dxa"/>
          </w:tcPr>
          <w:p w:rsidR="00AD0880" w:rsidRPr="003F0A8A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267859,0</w:t>
            </w:r>
          </w:p>
        </w:tc>
        <w:tc>
          <w:tcPr>
            <w:tcW w:w="992" w:type="dxa"/>
          </w:tcPr>
          <w:p w:rsidR="00AD0880" w:rsidRPr="003F0A8A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313501,0</w:t>
            </w:r>
          </w:p>
        </w:tc>
        <w:tc>
          <w:tcPr>
            <w:tcW w:w="709" w:type="dxa"/>
          </w:tcPr>
          <w:p w:rsidR="00AD0880" w:rsidRPr="003F0A8A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AD0880" w:rsidRPr="003F0A8A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F0A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335137,0</w:t>
            </w:r>
          </w:p>
        </w:tc>
        <w:tc>
          <w:tcPr>
            <w:tcW w:w="709" w:type="dxa"/>
          </w:tcPr>
          <w:p w:rsidR="00AD0880" w:rsidRPr="003F0A8A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AD0880" w:rsidRPr="003F0A8A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F0A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358353,7</w:t>
            </w:r>
          </w:p>
        </w:tc>
        <w:tc>
          <w:tcPr>
            <w:tcW w:w="709" w:type="dxa"/>
          </w:tcPr>
          <w:p w:rsidR="00AD0880" w:rsidRPr="003F0A8A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AD0880" w:rsidRPr="003F0A8A" w:rsidRDefault="00AD0880" w:rsidP="005922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F0A8A">
              <w:rPr>
                <w:rFonts w:ascii="Times New Roman" w:hAnsi="Times New Roman"/>
                <w:b/>
                <w:sz w:val="18"/>
                <w:szCs w:val="18"/>
              </w:rPr>
              <w:t>380616,9</w:t>
            </w:r>
          </w:p>
        </w:tc>
        <w:tc>
          <w:tcPr>
            <w:tcW w:w="709" w:type="dxa"/>
          </w:tcPr>
          <w:p w:rsidR="00AD0880" w:rsidRPr="003F0A8A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AD0880" w:rsidRPr="001B7EC9" w:rsidTr="00592285">
        <w:trPr>
          <w:trHeight w:val="248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177674,0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210335,0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241212,0</w:t>
            </w:r>
          </w:p>
        </w:tc>
        <w:tc>
          <w:tcPr>
            <w:tcW w:w="709" w:type="dxa"/>
          </w:tcPr>
          <w:p w:rsidR="00AD0880" w:rsidRPr="00B80CE6" w:rsidRDefault="00AD0880" w:rsidP="00350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50A5D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267582,0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287959,0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</w:t>
            </w:r>
            <w:r w:rsidR="00350A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D0880" w:rsidRPr="001B7EC9" w:rsidTr="00A23F50">
        <w:trPr>
          <w:trHeight w:val="311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2729,0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2729,0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3060,0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</w:tcPr>
          <w:p w:rsidR="00AD0880" w:rsidRPr="00B80CE6" w:rsidRDefault="00AD0880" w:rsidP="00350A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3099,</w:t>
            </w:r>
            <w:r w:rsidR="00350A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3266,9</w:t>
            </w:r>
          </w:p>
        </w:tc>
        <w:tc>
          <w:tcPr>
            <w:tcW w:w="709" w:type="dxa"/>
          </w:tcPr>
          <w:p w:rsidR="00AD0880" w:rsidRPr="00B80CE6" w:rsidRDefault="00AD0880" w:rsidP="00350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350A5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D0880" w:rsidRPr="001B7EC9" w:rsidTr="00592285">
        <w:trPr>
          <w:trHeight w:val="70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доход, в т</w:t>
            </w:r>
            <w:proofErr w:type="gramStart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39931,0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50930,0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38670,0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36134,0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37718,0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</w:tr>
      <w:tr w:rsidR="00AD0880" w:rsidRPr="001B7EC9" w:rsidTr="00592285">
        <w:trPr>
          <w:trHeight w:val="50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31281,0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40207,0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22113,0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23147,0</w:t>
            </w:r>
          </w:p>
        </w:tc>
        <w:tc>
          <w:tcPr>
            <w:tcW w:w="709" w:type="dxa"/>
          </w:tcPr>
          <w:p w:rsidR="00AD0880" w:rsidRPr="00B80CE6" w:rsidRDefault="00AD0880" w:rsidP="00D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D42B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D0880" w:rsidRPr="00B80CE6" w:rsidRDefault="00AD0880" w:rsidP="00D42B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24781,0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AD0880" w:rsidRPr="001B7EC9" w:rsidTr="008E7990">
        <w:trPr>
          <w:trHeight w:val="477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0">
              <w:rPr>
                <w:rFonts w:ascii="Times New Roman" w:hAnsi="Times New Roman" w:cs="Times New Roman"/>
                <w:sz w:val="18"/>
                <w:szCs w:val="18"/>
              </w:rPr>
              <w:t xml:space="preserve">Единый </w:t>
            </w:r>
            <w:proofErr w:type="spellStart"/>
            <w:proofErr w:type="gramStart"/>
            <w:r w:rsidRPr="00F71F80">
              <w:rPr>
                <w:rFonts w:ascii="Times New Roman" w:hAnsi="Times New Roman" w:cs="Times New Roman"/>
                <w:sz w:val="18"/>
                <w:szCs w:val="18"/>
              </w:rPr>
              <w:t>сельскохо</w:t>
            </w:r>
            <w:r w:rsidR="008E79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71F80">
              <w:rPr>
                <w:rFonts w:ascii="Times New Roman" w:hAnsi="Times New Roman" w:cs="Times New Roman"/>
                <w:sz w:val="18"/>
                <w:szCs w:val="18"/>
              </w:rPr>
              <w:t>зяйственный</w:t>
            </w:r>
            <w:proofErr w:type="spellEnd"/>
            <w:proofErr w:type="gramEnd"/>
            <w:r w:rsidRPr="00F71F80">
              <w:rPr>
                <w:rFonts w:ascii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D0880" w:rsidRPr="00B80CE6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880" w:rsidRPr="001B7EC9" w:rsidTr="00592285">
        <w:trPr>
          <w:trHeight w:val="50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0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8650,0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10695,0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16528,0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12959,0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12909,0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AD0880" w:rsidRPr="001B7EC9" w:rsidTr="00592285">
        <w:trPr>
          <w:trHeight w:val="50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0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21824,0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21824,0</w:t>
            </w:r>
          </w:p>
        </w:tc>
        <w:tc>
          <w:tcPr>
            <w:tcW w:w="709" w:type="dxa"/>
          </w:tcPr>
          <w:p w:rsidR="00AD0880" w:rsidRPr="00B80CE6" w:rsidRDefault="00D42BA7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23786,0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23786,0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23786,0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AD0880" w:rsidRPr="001B7EC9" w:rsidTr="00592285">
        <w:trPr>
          <w:trHeight w:val="146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14304,0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15286,0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D42B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15944,0</w:t>
            </w:r>
          </w:p>
        </w:tc>
        <w:tc>
          <w:tcPr>
            <w:tcW w:w="709" w:type="dxa"/>
          </w:tcPr>
          <w:p w:rsidR="00AD0880" w:rsidRPr="00B80CE6" w:rsidRDefault="00AD0880" w:rsidP="00D4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D42B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15017,0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14869,0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AD0880" w:rsidRPr="001B7EC9" w:rsidTr="00592285">
        <w:trPr>
          <w:trHeight w:val="146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6072,0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6072,0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6431,0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6431,0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6431,0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AD0880" w:rsidRPr="001B7EC9" w:rsidTr="00592285">
        <w:trPr>
          <w:trHeight w:val="226"/>
        </w:trPr>
        <w:tc>
          <w:tcPr>
            <w:tcW w:w="1985" w:type="dxa"/>
            <w:vAlign w:val="center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AD0880" w:rsidRPr="00F71F80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5235,0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6325,0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6034,0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6304,0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</w:tcPr>
          <w:p w:rsidR="00AD0880" w:rsidRPr="00B80CE6" w:rsidRDefault="00AD0880" w:rsidP="005922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6587,0</w:t>
            </w:r>
          </w:p>
        </w:tc>
        <w:tc>
          <w:tcPr>
            <w:tcW w:w="709" w:type="dxa"/>
          </w:tcPr>
          <w:p w:rsidR="00AD0880" w:rsidRPr="00B80CE6" w:rsidRDefault="00AD0880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</w:tbl>
    <w:p w:rsidR="00AD0880" w:rsidRPr="00E0043E" w:rsidRDefault="00AD0880" w:rsidP="00AD08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880" w:rsidRPr="001B7EC9" w:rsidRDefault="00AD0880" w:rsidP="00AD088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налоговых доходов (более 80%) в 2025 году, по-прежнему, составят </w:t>
      </w:r>
      <w:r w:rsidRPr="001B7EC9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D42B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%) и </w:t>
      </w:r>
      <w:r w:rsidRPr="001B7EC9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совокупный </w:t>
      </w:r>
      <w:r w:rsidRPr="001B7EC9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(11,5%)</w:t>
      </w:r>
      <w:r w:rsidRPr="001B7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2026-2027 годах структура налоговых доходов не претерпит существенных изменений.</w:t>
      </w:r>
    </w:p>
    <w:p w:rsidR="00F627DA" w:rsidRDefault="00F627DA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1B7EC9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НДФЛ) </w:t>
      </w:r>
      <w:r w:rsidR="00D42B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</w:t>
      </w:r>
      <w:r w:rsidR="00D42BA7">
        <w:rPr>
          <w:rFonts w:ascii="Times New Roman" w:hAnsi="Times New Roman" w:cs="Times New Roman"/>
          <w:sz w:val="28"/>
          <w:szCs w:val="28"/>
        </w:rPr>
        <w:t>у</w:t>
      </w:r>
      <w:r w:rsidRPr="001B7EC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проекте решения </w:t>
      </w:r>
      <w:r w:rsidRPr="001B7EC9">
        <w:rPr>
          <w:rFonts w:ascii="Times New Roman" w:hAnsi="Times New Roman" w:cs="Times New Roman"/>
          <w:sz w:val="28"/>
          <w:szCs w:val="28"/>
        </w:rPr>
        <w:t xml:space="preserve">прогнозируются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241212,0</w:t>
      </w:r>
      <w:r w:rsidRPr="005B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5B06D1"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целом НДФЛ на 2025 год прогнозируется с увеличением к </w:t>
      </w:r>
      <w:r w:rsidR="00D42BA7">
        <w:rPr>
          <w:rFonts w:ascii="Times New Roman" w:hAnsi="Times New Roman" w:cs="Times New Roman"/>
          <w:sz w:val="28"/>
          <w:szCs w:val="28"/>
        </w:rPr>
        <w:t xml:space="preserve">первоначальному плану 2024 года на 63538,0 тыс. руб., к </w:t>
      </w:r>
      <w:r>
        <w:rPr>
          <w:rFonts w:ascii="Times New Roman" w:hAnsi="Times New Roman" w:cs="Times New Roman"/>
          <w:sz w:val="28"/>
          <w:szCs w:val="28"/>
        </w:rPr>
        <w:t>уточненному плану 2024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30877,0 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2BA7">
        <w:rPr>
          <w:rFonts w:ascii="Times New Roman" w:hAnsi="Times New Roman" w:cs="Times New Roman"/>
          <w:sz w:val="28"/>
          <w:szCs w:val="28"/>
        </w:rPr>
        <w:t>4,7</w:t>
      </w:r>
      <w:r w:rsidRPr="001B7EC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в 2026 году с ростом к прогнозу 2025 года на 10,9%, в 2027 году по отношению к прогнозу 2026 года </w:t>
      </w:r>
      <w:r w:rsidR="00D42B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ростом на 7,6%.</w:t>
      </w:r>
      <w:proofErr w:type="gramEnd"/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C9">
        <w:rPr>
          <w:rFonts w:ascii="Times New Roman" w:eastAsia="Times New Roman" w:hAnsi="Times New Roman" w:cs="Times New Roman"/>
          <w:sz w:val="28"/>
          <w:szCs w:val="28"/>
        </w:rPr>
        <w:t>Данные о прогнозируемых поступлениях налога на доходы физических лиц представлены в таблице:</w:t>
      </w:r>
    </w:p>
    <w:p w:rsidR="00081D6E" w:rsidRPr="00780608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"/>
        <w:tblW w:w="9356" w:type="dxa"/>
        <w:tblInd w:w="108" w:type="dxa"/>
        <w:tblLayout w:type="fixed"/>
        <w:tblLook w:val="04A0"/>
      </w:tblPr>
      <w:tblGrid>
        <w:gridCol w:w="3969"/>
        <w:gridCol w:w="1701"/>
        <w:gridCol w:w="1276"/>
        <w:gridCol w:w="1276"/>
        <w:gridCol w:w="1134"/>
      </w:tblGrid>
      <w:tr w:rsidR="00081D6E" w:rsidTr="00592285">
        <w:tc>
          <w:tcPr>
            <w:tcW w:w="3969" w:type="dxa"/>
          </w:tcPr>
          <w:p w:rsidR="00081D6E" w:rsidRPr="0063384B" w:rsidRDefault="00081D6E" w:rsidP="00592285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384B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081D6E" w:rsidRPr="00EC5D5C" w:rsidRDefault="00081D6E" w:rsidP="005922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Pr="00F4003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081D6E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</w:t>
            </w:r>
            <w:proofErr w:type="gramEnd"/>
          </w:p>
          <w:p w:rsidR="00081D6E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F4003A">
              <w:rPr>
                <w:rFonts w:ascii="Times New Roman" w:hAnsi="Times New Roman"/>
                <w:sz w:val="18"/>
                <w:szCs w:val="18"/>
              </w:rPr>
              <w:t>29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.10.202</w:t>
            </w:r>
            <w:r w:rsidRPr="00F4003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81D6E" w:rsidRPr="0063384B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4/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20)</w:t>
            </w:r>
            <w:proofErr w:type="gramEnd"/>
          </w:p>
        </w:tc>
        <w:tc>
          <w:tcPr>
            <w:tcW w:w="1276" w:type="dxa"/>
          </w:tcPr>
          <w:p w:rsidR="00081D6E" w:rsidRPr="0063384B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 прогноз</w:t>
            </w:r>
          </w:p>
        </w:tc>
        <w:tc>
          <w:tcPr>
            <w:tcW w:w="1276" w:type="dxa"/>
          </w:tcPr>
          <w:p w:rsidR="00081D6E" w:rsidRPr="0063384B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 прогноз</w:t>
            </w:r>
          </w:p>
        </w:tc>
        <w:tc>
          <w:tcPr>
            <w:tcW w:w="1134" w:type="dxa"/>
          </w:tcPr>
          <w:p w:rsidR="00081D6E" w:rsidRPr="0063384B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год прогноз</w:t>
            </w:r>
          </w:p>
        </w:tc>
      </w:tr>
      <w:tr w:rsidR="00081D6E" w:rsidTr="00592285">
        <w:tc>
          <w:tcPr>
            <w:tcW w:w="3969" w:type="dxa"/>
          </w:tcPr>
          <w:p w:rsidR="00081D6E" w:rsidRPr="0063384B" w:rsidRDefault="00081D6E" w:rsidP="00592285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лиц, 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701" w:type="dxa"/>
          </w:tcPr>
          <w:p w:rsidR="00081D6E" w:rsidRPr="006E429E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210335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241212,0</w:t>
            </w:r>
          </w:p>
        </w:tc>
        <w:tc>
          <w:tcPr>
            <w:tcW w:w="1276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267582,0</w:t>
            </w:r>
          </w:p>
        </w:tc>
        <w:tc>
          <w:tcPr>
            <w:tcW w:w="1134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287959,0</w:t>
            </w:r>
          </w:p>
        </w:tc>
      </w:tr>
      <w:tr w:rsidR="00081D6E" w:rsidTr="00592285">
        <w:trPr>
          <w:trHeight w:val="679"/>
        </w:trPr>
        <w:tc>
          <w:tcPr>
            <w:tcW w:w="3969" w:type="dxa"/>
          </w:tcPr>
          <w:p w:rsidR="00081D6E" w:rsidRPr="00CE1AE5" w:rsidRDefault="00081D6E" w:rsidP="00592285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sz w:val="20"/>
                <w:szCs w:val="20"/>
              </w:rPr>
              <w:t>в том числе НДФЛ с доходов, источником которых является налоговый агент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701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179302,0</w:t>
            </w:r>
          </w:p>
        </w:tc>
        <w:tc>
          <w:tcPr>
            <w:tcW w:w="1276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214581,0</w:t>
            </w:r>
          </w:p>
        </w:tc>
        <w:tc>
          <w:tcPr>
            <w:tcW w:w="1276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236250,0</w:t>
            </w:r>
          </w:p>
        </w:tc>
        <w:tc>
          <w:tcPr>
            <w:tcW w:w="1134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257271,0</w:t>
            </w:r>
          </w:p>
        </w:tc>
      </w:tr>
      <w:tr w:rsidR="00081D6E" w:rsidTr="00592285">
        <w:tc>
          <w:tcPr>
            <w:tcW w:w="3969" w:type="dxa"/>
          </w:tcPr>
          <w:p w:rsidR="00081D6E" w:rsidRPr="00CE1AE5" w:rsidRDefault="00081D6E" w:rsidP="00592285">
            <w:pPr>
              <w:spacing w:after="1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b/>
                <w:sz w:val="20"/>
                <w:szCs w:val="20"/>
              </w:rPr>
              <w:t>Темп роста, % к предыдущему году</w:t>
            </w:r>
          </w:p>
        </w:tc>
        <w:tc>
          <w:tcPr>
            <w:tcW w:w="1701" w:type="dxa"/>
          </w:tcPr>
          <w:p w:rsidR="00081D6E" w:rsidRPr="004D54DB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54DB">
              <w:rPr>
                <w:rFonts w:ascii="Times New Roman" w:eastAsia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1276" w:type="dxa"/>
          </w:tcPr>
          <w:p w:rsidR="00081D6E" w:rsidRPr="004D54DB" w:rsidRDefault="00081D6E" w:rsidP="00D42BA7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54DB">
              <w:rPr>
                <w:rFonts w:ascii="Times New Roman" w:eastAsia="Times New Roman" w:hAnsi="Times New Roman"/>
                <w:sz w:val="20"/>
                <w:szCs w:val="20"/>
              </w:rPr>
              <w:t>114,</w:t>
            </w:r>
            <w:r w:rsidR="00D42BA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81D6E" w:rsidRPr="004D54DB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54DB">
              <w:rPr>
                <w:rFonts w:ascii="Times New Roman" w:eastAsia="Times New Roman" w:hAnsi="Times New Roman"/>
                <w:sz w:val="20"/>
                <w:szCs w:val="20"/>
              </w:rPr>
              <w:t>110,9</w:t>
            </w:r>
          </w:p>
        </w:tc>
        <w:tc>
          <w:tcPr>
            <w:tcW w:w="1134" w:type="dxa"/>
          </w:tcPr>
          <w:p w:rsidR="00081D6E" w:rsidRPr="004D54DB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54DB">
              <w:rPr>
                <w:rFonts w:ascii="Times New Roman" w:eastAsia="Times New Roman" w:hAnsi="Times New Roman"/>
                <w:sz w:val="20"/>
                <w:szCs w:val="20"/>
              </w:rPr>
              <w:t>107,6</w:t>
            </w:r>
          </w:p>
        </w:tc>
      </w:tr>
      <w:tr w:rsidR="00081D6E" w:rsidTr="00592285">
        <w:tc>
          <w:tcPr>
            <w:tcW w:w="3969" w:type="dxa"/>
          </w:tcPr>
          <w:p w:rsidR="00081D6E" w:rsidRPr="00CE1AE5" w:rsidRDefault="00081D6E" w:rsidP="00592285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sz w:val="20"/>
                <w:szCs w:val="20"/>
              </w:rPr>
              <w:t>Среднемесячная начисленная заработная плата, руб.</w:t>
            </w:r>
          </w:p>
        </w:tc>
        <w:tc>
          <w:tcPr>
            <w:tcW w:w="1701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42974,5</w:t>
            </w:r>
          </w:p>
        </w:tc>
        <w:tc>
          <w:tcPr>
            <w:tcW w:w="1276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48131,4</w:t>
            </w:r>
          </w:p>
        </w:tc>
        <w:tc>
          <w:tcPr>
            <w:tcW w:w="1276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52944,6</w:t>
            </w:r>
          </w:p>
        </w:tc>
        <w:tc>
          <w:tcPr>
            <w:tcW w:w="1134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57233,1</w:t>
            </w:r>
          </w:p>
        </w:tc>
      </w:tr>
      <w:tr w:rsidR="00081D6E" w:rsidTr="00592285">
        <w:tc>
          <w:tcPr>
            <w:tcW w:w="3969" w:type="dxa"/>
          </w:tcPr>
          <w:p w:rsidR="00081D6E" w:rsidRPr="00CE1AE5" w:rsidRDefault="00081D6E" w:rsidP="00592285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b/>
                <w:sz w:val="20"/>
                <w:szCs w:val="20"/>
              </w:rPr>
              <w:t>Темп роста, % к предыдущему году</w:t>
            </w:r>
          </w:p>
        </w:tc>
        <w:tc>
          <w:tcPr>
            <w:tcW w:w="1701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112,9</w:t>
            </w:r>
          </w:p>
        </w:tc>
        <w:tc>
          <w:tcPr>
            <w:tcW w:w="1276" w:type="dxa"/>
          </w:tcPr>
          <w:p w:rsidR="00081D6E" w:rsidRPr="00405004" w:rsidRDefault="00081D6E" w:rsidP="00D42BA7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42BA7">
              <w:rPr>
                <w:rFonts w:ascii="Times New Roman" w:eastAsia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081D6E" w:rsidRPr="00405004" w:rsidRDefault="00081D6E" w:rsidP="00D42BA7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42BA7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081D6E" w:rsidRPr="00405004" w:rsidRDefault="00081D6E" w:rsidP="00D42BA7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D42BA7">
              <w:rPr>
                <w:rFonts w:ascii="Times New Roman" w:eastAsia="Times New Roman" w:hAnsi="Times New Roman"/>
                <w:sz w:val="20"/>
                <w:szCs w:val="20"/>
              </w:rPr>
              <w:t>8,1</w:t>
            </w:r>
          </w:p>
        </w:tc>
      </w:tr>
      <w:tr w:rsidR="00081D6E" w:rsidTr="00592285">
        <w:tc>
          <w:tcPr>
            <w:tcW w:w="3969" w:type="dxa"/>
          </w:tcPr>
          <w:p w:rsidR="00081D6E" w:rsidRPr="00CE1AE5" w:rsidRDefault="00081D6E" w:rsidP="00592285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sz w:val="20"/>
                <w:szCs w:val="20"/>
              </w:rPr>
              <w:t>Фонд оплаты труда, млн. руб.</w:t>
            </w:r>
          </w:p>
        </w:tc>
        <w:tc>
          <w:tcPr>
            <w:tcW w:w="1701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5341,6</w:t>
            </w:r>
          </w:p>
        </w:tc>
        <w:tc>
          <w:tcPr>
            <w:tcW w:w="1276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5976,8</w:t>
            </w:r>
          </w:p>
        </w:tc>
        <w:tc>
          <w:tcPr>
            <w:tcW w:w="1276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6601,1</w:t>
            </w:r>
          </w:p>
        </w:tc>
        <w:tc>
          <w:tcPr>
            <w:tcW w:w="1134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7173,6</w:t>
            </w:r>
          </w:p>
        </w:tc>
      </w:tr>
      <w:tr w:rsidR="00081D6E" w:rsidTr="00592285">
        <w:tc>
          <w:tcPr>
            <w:tcW w:w="3969" w:type="dxa"/>
          </w:tcPr>
          <w:p w:rsidR="00081D6E" w:rsidRPr="00CE1AE5" w:rsidRDefault="00081D6E" w:rsidP="00592285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1AE5">
              <w:rPr>
                <w:rFonts w:ascii="Times New Roman" w:eastAsia="Times New Roman" w:hAnsi="Times New Roman"/>
                <w:b/>
                <w:sz w:val="20"/>
                <w:szCs w:val="20"/>
              </w:rPr>
              <w:t>Темп роста, % к предыдущему году</w:t>
            </w:r>
          </w:p>
        </w:tc>
        <w:tc>
          <w:tcPr>
            <w:tcW w:w="1701" w:type="dxa"/>
          </w:tcPr>
          <w:p w:rsidR="00081D6E" w:rsidRPr="00405004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1276" w:type="dxa"/>
          </w:tcPr>
          <w:p w:rsidR="00081D6E" w:rsidRPr="00405004" w:rsidRDefault="00081D6E" w:rsidP="00D42BA7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42BA7">
              <w:rPr>
                <w:rFonts w:ascii="Times New Roman" w:eastAsia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276" w:type="dxa"/>
          </w:tcPr>
          <w:p w:rsidR="00081D6E" w:rsidRPr="00405004" w:rsidRDefault="00081D6E" w:rsidP="00D42BA7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42BA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081D6E" w:rsidRPr="00405004" w:rsidRDefault="00081D6E" w:rsidP="00D42BA7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D42BA7">
              <w:rPr>
                <w:rFonts w:ascii="Times New Roman" w:eastAsia="Times New Roman" w:hAnsi="Times New Roman"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</w:tbl>
    <w:p w:rsidR="00081D6E" w:rsidRPr="00E0043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увеличение объемов поступлений НДФЛ обусловлено, главным образом, ростом фонда оплаты труда согласно прогнозу социально-экономического развития муниципального образования.</w:t>
      </w:r>
    </w:p>
    <w:p w:rsidR="00081D6E" w:rsidRPr="00090E81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81">
        <w:rPr>
          <w:rFonts w:ascii="Times New Roman" w:hAnsi="Times New Roman" w:cs="Times New Roman"/>
          <w:sz w:val="28"/>
          <w:szCs w:val="28"/>
        </w:rPr>
        <w:t xml:space="preserve">В структуре прогнозируемых поступлений НДФЛ </w:t>
      </w:r>
      <w:r>
        <w:rPr>
          <w:rFonts w:ascii="Times New Roman" w:hAnsi="Times New Roman" w:cs="Times New Roman"/>
          <w:sz w:val="28"/>
          <w:szCs w:val="28"/>
        </w:rPr>
        <w:t>более 8</w:t>
      </w:r>
      <w:r w:rsidR="00D42BA7">
        <w:rPr>
          <w:rFonts w:ascii="Times New Roman" w:hAnsi="Times New Roman" w:cs="Times New Roman"/>
          <w:sz w:val="28"/>
          <w:szCs w:val="28"/>
        </w:rPr>
        <w:t>5</w:t>
      </w:r>
      <w:r w:rsidRPr="00090E81">
        <w:rPr>
          <w:rFonts w:ascii="Times New Roman" w:hAnsi="Times New Roman" w:cs="Times New Roman"/>
          <w:sz w:val="28"/>
          <w:szCs w:val="28"/>
        </w:rPr>
        <w:t>% приходится на НДФЛ с доходов, источником которых является налоговый агент.</w:t>
      </w:r>
    </w:p>
    <w:p w:rsidR="00081D6E" w:rsidRDefault="00081D6E" w:rsidP="00081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НДФЛ с доходов, полученных от осуществления деятельности </w:t>
      </w:r>
      <w:r w:rsidR="00D42BA7">
        <w:rPr>
          <w:rFonts w:ascii="Times New Roman" w:hAnsi="Times New Roman" w:cs="Times New Roman"/>
          <w:sz w:val="28"/>
          <w:szCs w:val="28"/>
        </w:rPr>
        <w:t>физическими лицами, зарегистрированными в качестве</w:t>
      </w:r>
      <w:r w:rsidR="00EB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</w:t>
      </w:r>
      <w:r w:rsidR="00EB6D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B6D0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нотариус</w:t>
      </w:r>
      <w:r w:rsidR="00EB6D0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адвокат</w:t>
      </w:r>
      <w:r w:rsidR="00EB6D0B">
        <w:rPr>
          <w:rFonts w:ascii="Times New Roman" w:hAnsi="Times New Roman" w:cs="Times New Roman"/>
          <w:sz w:val="28"/>
          <w:szCs w:val="28"/>
        </w:rPr>
        <w:t>ов и других лиц, занимающихся частной практикой</w:t>
      </w:r>
      <w:r>
        <w:rPr>
          <w:rFonts w:ascii="Times New Roman" w:hAnsi="Times New Roman" w:cs="Times New Roman"/>
          <w:sz w:val="28"/>
          <w:szCs w:val="28"/>
        </w:rPr>
        <w:t>, прогнозируется в 2025 году в объеме 562,0 тыс. руб. со снижением к плану 2024 года</w:t>
      </w:r>
      <w:r w:rsidR="00EB6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НДФЛ с доходов, полученных физическими лицами в соответствии со ст</w:t>
      </w:r>
      <w:r w:rsidR="00433C0C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228 Налогового кодекса РФ, в 2025 году составит 2365,0 тыс. руб. Налог на доходы физических лиц в отношении доходов от долевого участия в организаци</w:t>
      </w:r>
      <w:r w:rsidR="00EB6D0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полученных в виде дивидендов, в 2025 году планируется получить в объеме 23203,0 тыс. руб. </w:t>
      </w:r>
    </w:p>
    <w:p w:rsidR="00081D6E" w:rsidRDefault="00081D6E" w:rsidP="00081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поступлений НДФЛ в 2025 году рассчитан с учетом изменений налогового законодательства РФ.</w:t>
      </w:r>
    </w:p>
    <w:p w:rsidR="00081D6E" w:rsidRDefault="00081D6E" w:rsidP="00081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6E" w:rsidRPr="001B7EC9" w:rsidRDefault="00081D6E" w:rsidP="00081D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1B7EC9">
        <w:rPr>
          <w:rFonts w:ascii="Times New Roman" w:hAnsi="Times New Roman" w:cs="Times New Roman"/>
          <w:b/>
          <w:sz w:val="28"/>
          <w:szCs w:val="28"/>
        </w:rPr>
        <w:t>доходов по акцизам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 планиру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7EC9">
        <w:rPr>
          <w:rFonts w:ascii="Times New Roman" w:hAnsi="Times New Roman" w:cs="Times New Roman"/>
          <w:sz w:val="28"/>
          <w:szCs w:val="28"/>
        </w:rPr>
        <w:t>тся с ростом к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12,1</w:t>
      </w:r>
      <w:r w:rsidRPr="001B7EC9">
        <w:rPr>
          <w:rFonts w:ascii="Times New Roman" w:hAnsi="Times New Roman" w:cs="Times New Roman"/>
          <w:sz w:val="28"/>
          <w:szCs w:val="28"/>
        </w:rPr>
        <w:t>% и состав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EC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3060,0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году темп роста составит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1B7EC9">
        <w:rPr>
          <w:rFonts w:ascii="Times New Roman" w:hAnsi="Times New Roman" w:cs="Times New Roman"/>
          <w:sz w:val="28"/>
          <w:szCs w:val="28"/>
        </w:rPr>
        <w:t>% к предыдущему году, в 202</w:t>
      </w:r>
      <w:r>
        <w:rPr>
          <w:rFonts w:ascii="Times New Roman" w:hAnsi="Times New Roman" w:cs="Times New Roman"/>
          <w:sz w:val="28"/>
          <w:szCs w:val="28"/>
        </w:rPr>
        <w:t>7 году – 5,4</w:t>
      </w:r>
      <w:r w:rsidRPr="001B7EC9">
        <w:rPr>
          <w:rFonts w:ascii="Times New Roman" w:hAnsi="Times New Roman" w:cs="Times New Roman"/>
          <w:sz w:val="28"/>
          <w:szCs w:val="28"/>
        </w:rPr>
        <w:t>%.</w:t>
      </w:r>
    </w:p>
    <w:p w:rsidR="00081D6E" w:rsidRDefault="00081D6E" w:rsidP="00081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>Сведения о прогнозируемых поступлениях доходов от акцизов представлены в таблице:</w:t>
      </w:r>
    </w:p>
    <w:p w:rsidR="00081D6E" w:rsidRPr="00736D2F" w:rsidRDefault="00081D6E" w:rsidP="00081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931"/>
        <w:gridCol w:w="1490"/>
        <w:gridCol w:w="1353"/>
        <w:gridCol w:w="1179"/>
        <w:gridCol w:w="1265"/>
        <w:gridCol w:w="1245"/>
      </w:tblGrid>
      <w:tr w:rsidR="00081D6E" w:rsidTr="00592285">
        <w:tc>
          <w:tcPr>
            <w:tcW w:w="3130" w:type="dxa"/>
          </w:tcPr>
          <w:p w:rsidR="00081D6E" w:rsidRPr="00983EFB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58" w:type="dxa"/>
          </w:tcPr>
          <w:p w:rsidR="00081D6E" w:rsidRPr="00EC5D5C" w:rsidRDefault="00081D6E" w:rsidP="005922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2024 год </w:t>
            </w:r>
            <w:r w:rsidRPr="00921C50">
              <w:rPr>
                <w:rFonts w:ascii="Times New Roman" w:hAnsi="Times New Roman"/>
                <w:sz w:val="18"/>
                <w:szCs w:val="18"/>
              </w:rPr>
              <w:t>первоначальный план</w:t>
            </w:r>
          </w:p>
        </w:tc>
        <w:tc>
          <w:tcPr>
            <w:tcW w:w="1399" w:type="dxa"/>
          </w:tcPr>
          <w:p w:rsidR="00081D6E" w:rsidRPr="00EC5D5C" w:rsidRDefault="00081D6E" w:rsidP="005922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081D6E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</w:t>
            </w:r>
            <w:proofErr w:type="gramEnd"/>
          </w:p>
          <w:p w:rsidR="00081D6E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  <w:p w:rsidR="00081D6E" w:rsidRPr="00983EFB" w:rsidRDefault="00081D6E" w:rsidP="005922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4/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20)</w:t>
            </w:r>
            <w:proofErr w:type="gramEnd"/>
          </w:p>
        </w:tc>
        <w:tc>
          <w:tcPr>
            <w:tcW w:w="1201" w:type="dxa"/>
          </w:tcPr>
          <w:p w:rsidR="00081D6E" w:rsidRPr="0063384B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 год (прогноз)</w:t>
            </w:r>
          </w:p>
        </w:tc>
        <w:tc>
          <w:tcPr>
            <w:tcW w:w="1299" w:type="dxa"/>
          </w:tcPr>
          <w:p w:rsidR="00081D6E" w:rsidRPr="0063384B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276" w:type="dxa"/>
          </w:tcPr>
          <w:p w:rsidR="00081D6E" w:rsidRPr="0063384B" w:rsidRDefault="00081D6E" w:rsidP="00592285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2027 год (прогноз)</w:t>
            </w:r>
          </w:p>
        </w:tc>
      </w:tr>
      <w:tr w:rsidR="00081D6E" w:rsidTr="00592285">
        <w:tc>
          <w:tcPr>
            <w:tcW w:w="3130" w:type="dxa"/>
          </w:tcPr>
          <w:p w:rsidR="00081D6E" w:rsidRPr="00983EFB" w:rsidRDefault="00081D6E" w:rsidP="00592285">
            <w:pPr>
              <w:spacing w:before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83EFB">
              <w:rPr>
                <w:rFonts w:ascii="Times New Roman" w:hAnsi="Times New Roman"/>
                <w:sz w:val="20"/>
                <w:szCs w:val="20"/>
              </w:rPr>
              <w:t>кциз</w:t>
            </w:r>
            <w:r>
              <w:rPr>
                <w:rFonts w:ascii="Times New Roman" w:hAnsi="Times New Roman"/>
                <w:sz w:val="20"/>
                <w:szCs w:val="20"/>
              </w:rPr>
              <w:t>ы по подакцизным товарам (продукции), производимым на территории РФ, тыс. руб.</w:t>
            </w:r>
          </w:p>
        </w:tc>
        <w:tc>
          <w:tcPr>
            <w:tcW w:w="1158" w:type="dxa"/>
          </w:tcPr>
          <w:p w:rsidR="00081D6E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2729,0</w:t>
            </w:r>
          </w:p>
        </w:tc>
        <w:tc>
          <w:tcPr>
            <w:tcW w:w="1399" w:type="dxa"/>
          </w:tcPr>
          <w:p w:rsidR="00081D6E" w:rsidRPr="00983EFB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2729,0</w:t>
            </w:r>
          </w:p>
        </w:tc>
        <w:tc>
          <w:tcPr>
            <w:tcW w:w="1201" w:type="dxa"/>
          </w:tcPr>
          <w:p w:rsidR="00081D6E" w:rsidRPr="00983EFB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3060,0</w:t>
            </w:r>
          </w:p>
        </w:tc>
        <w:tc>
          <w:tcPr>
            <w:tcW w:w="1299" w:type="dxa"/>
          </w:tcPr>
          <w:p w:rsidR="00081D6E" w:rsidRPr="00983EFB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3099,7</w:t>
            </w:r>
          </w:p>
        </w:tc>
        <w:tc>
          <w:tcPr>
            <w:tcW w:w="1276" w:type="dxa"/>
          </w:tcPr>
          <w:p w:rsidR="00081D6E" w:rsidRPr="00983EFB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3266,9</w:t>
            </w:r>
          </w:p>
        </w:tc>
      </w:tr>
      <w:tr w:rsidR="00081D6E" w:rsidTr="00592285">
        <w:tc>
          <w:tcPr>
            <w:tcW w:w="3130" w:type="dxa"/>
          </w:tcPr>
          <w:p w:rsidR="00081D6E" w:rsidRPr="00983EFB" w:rsidRDefault="00081D6E" w:rsidP="00592285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84B">
              <w:rPr>
                <w:rFonts w:ascii="Times New Roman" w:eastAsia="Times New Roman" w:hAnsi="Times New Roman"/>
                <w:b/>
                <w:sz w:val="20"/>
                <w:szCs w:val="20"/>
              </w:rPr>
              <w:t>Темп роста, % к пред</w:t>
            </w:r>
            <w:proofErr w:type="gramStart"/>
            <w:r w:rsidRPr="0063384B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3384B">
              <w:rPr>
                <w:rFonts w:ascii="Times New Roman" w:eastAsia="Times New Roman" w:hAnsi="Times New Roman"/>
                <w:b/>
                <w:sz w:val="20"/>
                <w:szCs w:val="20"/>
              </w:rPr>
              <w:t>г</w:t>
            </w:r>
            <w:proofErr w:type="gramEnd"/>
            <w:r w:rsidRPr="0063384B">
              <w:rPr>
                <w:rFonts w:ascii="Times New Roman" w:eastAsia="Times New Roman" w:hAnsi="Times New Roman"/>
                <w:b/>
                <w:sz w:val="20"/>
                <w:szCs w:val="20"/>
              </w:rPr>
              <w:t>оду</w:t>
            </w:r>
          </w:p>
        </w:tc>
        <w:tc>
          <w:tcPr>
            <w:tcW w:w="1158" w:type="dxa"/>
          </w:tcPr>
          <w:p w:rsidR="00081D6E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99,6</w:t>
            </w:r>
          </w:p>
        </w:tc>
        <w:tc>
          <w:tcPr>
            <w:tcW w:w="1399" w:type="dxa"/>
          </w:tcPr>
          <w:p w:rsidR="00081D6E" w:rsidRPr="00983EFB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99,6</w:t>
            </w:r>
          </w:p>
        </w:tc>
        <w:tc>
          <w:tcPr>
            <w:tcW w:w="1201" w:type="dxa"/>
          </w:tcPr>
          <w:p w:rsidR="00081D6E" w:rsidRPr="00983EFB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112,1</w:t>
            </w:r>
          </w:p>
        </w:tc>
        <w:tc>
          <w:tcPr>
            <w:tcW w:w="1299" w:type="dxa"/>
          </w:tcPr>
          <w:p w:rsidR="00081D6E" w:rsidRPr="00983EFB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101,3</w:t>
            </w:r>
          </w:p>
        </w:tc>
        <w:tc>
          <w:tcPr>
            <w:tcW w:w="1276" w:type="dxa"/>
          </w:tcPr>
          <w:p w:rsidR="00081D6E" w:rsidRPr="00983EFB" w:rsidRDefault="00081D6E" w:rsidP="00592285">
            <w:pPr>
              <w:spacing w:before="12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105,4</w:t>
            </w:r>
          </w:p>
        </w:tc>
      </w:tr>
    </w:tbl>
    <w:p w:rsidR="00081D6E" w:rsidRPr="00E33B5C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F9">
        <w:rPr>
          <w:rFonts w:ascii="Times New Roman" w:hAnsi="Times New Roman" w:cs="Times New Roman"/>
          <w:sz w:val="28"/>
          <w:szCs w:val="28"/>
        </w:rPr>
        <w:t>Расчет прогноза поступления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13CF9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413CF9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в городской бюджет производился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3CF9">
        <w:rPr>
          <w:rFonts w:ascii="Times New Roman" w:hAnsi="Times New Roman" w:cs="Times New Roman"/>
          <w:sz w:val="28"/>
          <w:szCs w:val="28"/>
        </w:rPr>
        <w:t>инистерством финансов Кировской области, исходя из дифференцированных норматив</w:t>
      </w:r>
      <w:r>
        <w:rPr>
          <w:rFonts w:ascii="Times New Roman" w:hAnsi="Times New Roman" w:cs="Times New Roman"/>
          <w:sz w:val="28"/>
          <w:szCs w:val="28"/>
        </w:rPr>
        <w:t>ов отчислений в местные бюджеты.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F9">
        <w:rPr>
          <w:rFonts w:ascii="Times New Roman" w:hAnsi="Times New Roman" w:cs="Times New Roman"/>
          <w:sz w:val="28"/>
          <w:szCs w:val="28"/>
        </w:rPr>
        <w:t>Размер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CF9">
        <w:rPr>
          <w:rFonts w:ascii="Times New Roman" w:hAnsi="Times New Roman" w:cs="Times New Roman"/>
          <w:sz w:val="28"/>
          <w:szCs w:val="28"/>
        </w:rPr>
        <w:t xml:space="preserve"> дифференцированн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3CF9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3CF9">
        <w:rPr>
          <w:rFonts w:ascii="Times New Roman" w:hAnsi="Times New Roman" w:cs="Times New Roman"/>
          <w:sz w:val="28"/>
          <w:szCs w:val="28"/>
        </w:rPr>
        <w:t xml:space="preserve"> отчислений в местные бюджеты установлен </w:t>
      </w:r>
      <w:proofErr w:type="gramStart"/>
      <w:r w:rsidRPr="00413CF9">
        <w:rPr>
          <w:rFonts w:ascii="Times New Roman" w:hAnsi="Times New Roman" w:cs="Times New Roman"/>
          <w:sz w:val="28"/>
          <w:szCs w:val="28"/>
        </w:rPr>
        <w:t>исходя из протяженности автомобильных дорог</w:t>
      </w:r>
      <w:proofErr w:type="gramEnd"/>
      <w:r w:rsidRPr="00413CF9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значения, находящихся в собственности соответствующих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, и составляет для города Вятские Поляны 0,0541% на 2025</w:t>
      </w:r>
      <w:r w:rsidR="00F627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2026 годы и 0,0433 – на 2027 год</w:t>
      </w:r>
      <w:r w:rsidRPr="00413CF9">
        <w:rPr>
          <w:rFonts w:ascii="Times New Roman" w:hAnsi="Times New Roman" w:cs="Times New Roman"/>
          <w:sz w:val="28"/>
          <w:szCs w:val="28"/>
        </w:rPr>
        <w:t>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налоговых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по </w:t>
      </w:r>
      <w:r w:rsidRPr="001A6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налогам на совокупный доход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по прогнозному плану 2024 года 50930,0 тыс. руб., или 16,2%</w:t>
      </w:r>
      <w:r w:rsidR="00F6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1D6E" w:rsidRPr="009F5631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указанных доходов </w:t>
      </w:r>
      <w:r w:rsidR="00F6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0B4">
        <w:rPr>
          <w:rFonts w:ascii="Times New Roman" w:hAnsi="Times New Roman" w:cs="Times New Roman"/>
          <w:color w:val="000000"/>
          <w:sz w:val="28"/>
          <w:szCs w:val="28"/>
        </w:rPr>
        <w:t>38670,0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 снижением к предыдущему году на 24,1%. 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совокупный доход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36134,0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снижением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предыдущему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6,6%, в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указанных доходов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37718,0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предыдущему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9F563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081D6E" w:rsidRPr="00EF469B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EC9">
        <w:rPr>
          <w:rFonts w:ascii="Times New Roman" w:hAnsi="Times New Roman"/>
          <w:sz w:val="28"/>
          <w:szCs w:val="28"/>
        </w:rPr>
        <w:t>Прогноз 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283">
        <w:rPr>
          <w:rFonts w:ascii="Times New Roman" w:hAnsi="Times New Roman"/>
          <w:b/>
          <w:sz w:val="28"/>
          <w:szCs w:val="28"/>
        </w:rPr>
        <w:t xml:space="preserve">налога, взимаемого в связи с </w:t>
      </w:r>
      <w:r w:rsidRPr="0087292C">
        <w:rPr>
          <w:rFonts w:ascii="Times New Roman" w:hAnsi="Times New Roman"/>
          <w:b/>
          <w:sz w:val="28"/>
          <w:szCs w:val="28"/>
        </w:rPr>
        <w:t xml:space="preserve">применением </w:t>
      </w:r>
      <w:r w:rsidRPr="00887283">
        <w:rPr>
          <w:rFonts w:ascii="Times New Roman" w:hAnsi="Times New Roman"/>
          <w:b/>
          <w:sz w:val="28"/>
          <w:szCs w:val="28"/>
        </w:rPr>
        <w:t>упрощенной системы налогообложения</w:t>
      </w:r>
      <w:r w:rsidR="00F627DA">
        <w:rPr>
          <w:rFonts w:ascii="Times New Roman" w:hAnsi="Times New Roman"/>
          <w:b/>
          <w:sz w:val="28"/>
          <w:szCs w:val="28"/>
        </w:rPr>
        <w:t xml:space="preserve"> (далее – УСН)</w:t>
      </w:r>
      <w:r w:rsidRPr="001B7EC9">
        <w:rPr>
          <w:rFonts w:ascii="Times New Roman" w:hAnsi="Times New Roman"/>
          <w:sz w:val="28"/>
          <w:szCs w:val="28"/>
        </w:rPr>
        <w:t>, на 20</w:t>
      </w:r>
      <w:r>
        <w:rPr>
          <w:rFonts w:ascii="Times New Roman" w:hAnsi="Times New Roman"/>
          <w:sz w:val="28"/>
          <w:szCs w:val="28"/>
        </w:rPr>
        <w:t>25</w:t>
      </w:r>
      <w:r w:rsidRPr="001B7EC9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22113,0 тыс</w:t>
      </w:r>
      <w:r w:rsidRPr="001B7EC9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.</w:t>
      </w:r>
      <w:r w:rsidRPr="001B7E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 45% (на 18094,0 тыс. руб.) ниже прогноза 2024</w:t>
      </w:r>
      <w:r w:rsidRPr="001B7EC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а.</w:t>
      </w:r>
    </w:p>
    <w:p w:rsidR="00081D6E" w:rsidRDefault="00081D6E" w:rsidP="00081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EC9">
        <w:rPr>
          <w:rFonts w:ascii="Times New Roman" w:eastAsia="Calibri" w:hAnsi="Times New Roman" w:cs="Times New Roman"/>
          <w:sz w:val="28"/>
          <w:szCs w:val="28"/>
        </w:rPr>
        <w:t>Информация о прогнозируемых поступлениях налога представлена в таблице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(тыс. руб.)</w:t>
      </w:r>
      <w:r w:rsidRPr="001B7E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2A92" w:rsidRDefault="00A02A92" w:rsidP="00081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A92" w:rsidRDefault="00A02A92" w:rsidP="00081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1D6E" w:rsidRPr="00BC3577" w:rsidRDefault="00081D6E" w:rsidP="00081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f"/>
        <w:tblW w:w="9498" w:type="dxa"/>
        <w:tblInd w:w="108" w:type="dxa"/>
        <w:tblLayout w:type="fixed"/>
        <w:tblLook w:val="04A0"/>
      </w:tblPr>
      <w:tblGrid>
        <w:gridCol w:w="1843"/>
        <w:gridCol w:w="992"/>
        <w:gridCol w:w="1560"/>
        <w:gridCol w:w="992"/>
        <w:gridCol w:w="992"/>
        <w:gridCol w:w="992"/>
        <w:gridCol w:w="709"/>
        <w:gridCol w:w="709"/>
        <w:gridCol w:w="709"/>
      </w:tblGrid>
      <w:tr w:rsidR="00081D6E" w:rsidTr="00592285">
        <w:tc>
          <w:tcPr>
            <w:tcW w:w="1843" w:type="dxa"/>
            <w:vMerge w:val="restart"/>
          </w:tcPr>
          <w:p w:rsidR="00081D6E" w:rsidRPr="003D339D" w:rsidRDefault="00081D6E" w:rsidP="0059228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60" w:type="dxa"/>
          </w:tcPr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976" w:type="dxa"/>
            <w:gridSpan w:val="3"/>
          </w:tcPr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  <w:tc>
          <w:tcPr>
            <w:tcW w:w="2127" w:type="dxa"/>
            <w:gridSpan w:val="3"/>
          </w:tcPr>
          <w:p w:rsidR="00081D6E" w:rsidRPr="00F80BCF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Рост</w:t>
            </w:r>
            <w:r w:rsidR="00F627DA">
              <w:rPr>
                <w:rFonts w:ascii="Times New Roman" w:hAnsi="Times New Roman"/>
                <w:sz w:val="20"/>
                <w:szCs w:val="20"/>
              </w:rPr>
              <w:t xml:space="preserve"> (снижение)</w:t>
            </w:r>
            <w:r w:rsidRPr="00F80BCF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081D6E" w:rsidTr="00592285">
        <w:tc>
          <w:tcPr>
            <w:tcW w:w="1843" w:type="dxa"/>
            <w:vMerge/>
          </w:tcPr>
          <w:p w:rsidR="00081D6E" w:rsidRDefault="00081D6E" w:rsidP="0059228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1D6E" w:rsidRPr="00EC5D5C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Первона-чальный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план</w:t>
            </w:r>
          </w:p>
        </w:tc>
        <w:tc>
          <w:tcPr>
            <w:tcW w:w="1560" w:type="dxa"/>
          </w:tcPr>
          <w:p w:rsidR="00081D6E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</w:t>
            </w:r>
            <w:proofErr w:type="gramEnd"/>
          </w:p>
          <w:p w:rsidR="00081D6E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34/3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20)</w:t>
            </w:r>
            <w:proofErr w:type="gramEnd"/>
          </w:p>
        </w:tc>
        <w:tc>
          <w:tcPr>
            <w:tcW w:w="992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081D6E" w:rsidRPr="00F80BCF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80BC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081D6E" w:rsidRPr="00F80BCF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81D6E" w:rsidRPr="00F80BCF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0BC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081D6E" w:rsidRPr="00F80BCF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81D6E" w:rsidRPr="00F80BCF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80BC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081D6E" w:rsidRPr="00F80BCF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C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81D6E" w:rsidTr="00592285">
        <w:tc>
          <w:tcPr>
            <w:tcW w:w="1843" w:type="dxa"/>
          </w:tcPr>
          <w:p w:rsidR="00081D6E" w:rsidRPr="003D339D" w:rsidRDefault="00081D6E" w:rsidP="0059228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УСН</w:t>
            </w:r>
          </w:p>
        </w:tc>
        <w:tc>
          <w:tcPr>
            <w:tcW w:w="992" w:type="dxa"/>
            <w:vAlign w:val="center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31281,0</w:t>
            </w:r>
          </w:p>
        </w:tc>
        <w:tc>
          <w:tcPr>
            <w:tcW w:w="1560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40207,0</w:t>
            </w: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22113,0</w:t>
            </w:r>
          </w:p>
        </w:tc>
        <w:tc>
          <w:tcPr>
            <w:tcW w:w="992" w:type="dxa"/>
          </w:tcPr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23147,0</w:t>
            </w:r>
          </w:p>
        </w:tc>
        <w:tc>
          <w:tcPr>
            <w:tcW w:w="992" w:type="dxa"/>
          </w:tcPr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24781,0</w:t>
            </w:r>
          </w:p>
        </w:tc>
        <w:tc>
          <w:tcPr>
            <w:tcW w:w="709" w:type="dxa"/>
          </w:tcPr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709" w:type="dxa"/>
          </w:tcPr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402551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</w:tr>
    </w:tbl>
    <w:p w:rsidR="00081D6E" w:rsidRPr="00780608" w:rsidRDefault="00081D6E" w:rsidP="0008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81D6E" w:rsidRDefault="00081D6E" w:rsidP="0008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налога </w:t>
      </w:r>
      <w:r w:rsidR="00F627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прогнозирова</w:t>
      </w:r>
      <w:r w:rsidR="00F627DA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декларирования за 2023 год с применением к налоговой базе показателей прогноза социально-экономического развития на 2025-2027 годы.</w:t>
      </w:r>
    </w:p>
    <w:p w:rsidR="00081D6E" w:rsidRPr="00165364" w:rsidRDefault="00081D6E" w:rsidP="0008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прогноз поступления налога, взимаемого в связи с применением УСН, рассчитан в соответствии с установленным единым нормативом отчислений в городской бюджет в размере 15%.</w:t>
      </w:r>
    </w:p>
    <w:p w:rsidR="00081D6E" w:rsidRDefault="00081D6E" w:rsidP="0008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 прогноз поступления налога, взимаемого в связи с применением УСН, был увеличен к установленным единым нормативам отчислений </w:t>
      </w:r>
      <w:r w:rsidRPr="00EC5374">
        <w:rPr>
          <w:rFonts w:ascii="Times New Roman" w:hAnsi="Times New Roman" w:cs="Times New Roman"/>
          <w:sz w:val="28"/>
          <w:szCs w:val="28"/>
        </w:rPr>
        <w:t>от налога (10%)</w:t>
      </w:r>
      <w:r>
        <w:rPr>
          <w:rFonts w:ascii="Times New Roman" w:hAnsi="Times New Roman" w:cs="Times New Roman"/>
          <w:sz w:val="28"/>
          <w:szCs w:val="28"/>
        </w:rPr>
        <w:t xml:space="preserve"> на дополнительные поступления по дифференцированным нормативам отчислений в размере 18,1%, у</w:t>
      </w:r>
      <w:r w:rsidR="00F627DA">
        <w:rPr>
          <w:rFonts w:ascii="Times New Roman" w:hAnsi="Times New Roman" w:cs="Times New Roman"/>
          <w:sz w:val="28"/>
          <w:szCs w:val="28"/>
        </w:rPr>
        <w:t>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муниципального образования </w:t>
      </w:r>
      <w:r w:rsidR="00FF0F9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A02A9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 областном бюджете. На 2025 год дополнительные поступления по дифференцированным нормативам отчислений установлены в размере 5%, что повлекло снижение прогнозируемого объема налога.</w:t>
      </w:r>
    </w:p>
    <w:p w:rsidR="00081D6E" w:rsidRDefault="00081D6E" w:rsidP="00081D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6E" w:rsidRPr="00C91172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объем налога, взимаемого в связи с применением </w:t>
      </w:r>
      <w:r w:rsidRPr="00FD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патентной системы налогообложения</w:t>
      </w:r>
      <w:r w:rsidRPr="00FF0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16528,0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выше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 плана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5833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FD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C91172">
        <w:rPr>
          <w:rFonts w:ascii="Times New Roman" w:hAnsi="Times New Roman" w:cs="Times New Roman"/>
          <w:sz w:val="28"/>
          <w:szCs w:val="28"/>
        </w:rPr>
        <w:t>Прогноз поступлений налога рассчитан с использованием прогнозных значений показателей:</w:t>
      </w:r>
      <w:r w:rsidRPr="00C911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172">
        <w:rPr>
          <w:rFonts w:ascii="Times New Roman" w:hAnsi="Times New Roman" w:cs="Times New Roman"/>
          <w:sz w:val="28"/>
          <w:szCs w:val="28"/>
        </w:rPr>
        <w:t>размера потенциально возможного к получению годового дохода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172">
        <w:rPr>
          <w:rFonts w:ascii="Times New Roman" w:hAnsi="Times New Roman" w:cs="Times New Roman"/>
          <w:sz w:val="28"/>
          <w:szCs w:val="28"/>
        </w:rPr>
        <w:t xml:space="preserve"> суммы страховых платежей (взносов), уменьшающих сумму уплачиваемого налога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172">
        <w:rPr>
          <w:rFonts w:ascii="Times New Roman" w:hAnsi="Times New Roman" w:cs="Times New Roman"/>
          <w:sz w:val="28"/>
          <w:szCs w:val="28"/>
        </w:rPr>
        <w:t xml:space="preserve"> коэффициента-дефлятора в целях применения</w:t>
      </w:r>
      <w:proofErr w:type="gramEnd"/>
      <w:r w:rsidRPr="00C91172">
        <w:rPr>
          <w:rFonts w:ascii="Times New Roman" w:hAnsi="Times New Roman" w:cs="Times New Roman"/>
          <w:sz w:val="28"/>
          <w:szCs w:val="28"/>
        </w:rPr>
        <w:t xml:space="preserve"> главы 26.5 «Патентная система налогообложения» НК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172">
        <w:rPr>
          <w:rFonts w:ascii="Times New Roman" w:hAnsi="Times New Roman" w:cs="Times New Roman"/>
          <w:sz w:val="28"/>
          <w:szCs w:val="28"/>
        </w:rPr>
        <w:t xml:space="preserve"> коэффициента роста количества выданных патентов на предстоящий финансовый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172">
        <w:rPr>
          <w:rFonts w:ascii="Times New Roman" w:hAnsi="Times New Roman" w:cs="Times New Roman"/>
          <w:sz w:val="28"/>
          <w:szCs w:val="28"/>
        </w:rPr>
        <w:t xml:space="preserve"> расчётн</w:t>
      </w:r>
      <w:r w:rsidR="00FF0F95">
        <w:rPr>
          <w:rFonts w:ascii="Times New Roman" w:hAnsi="Times New Roman" w:cs="Times New Roman"/>
          <w:sz w:val="28"/>
          <w:szCs w:val="28"/>
        </w:rPr>
        <w:t>ого</w:t>
      </w:r>
      <w:r w:rsidRPr="00C9117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FF0F95">
        <w:rPr>
          <w:rFonts w:ascii="Times New Roman" w:hAnsi="Times New Roman" w:cs="Times New Roman"/>
          <w:sz w:val="28"/>
          <w:szCs w:val="28"/>
        </w:rPr>
        <w:t>я</w:t>
      </w:r>
      <w:r w:rsidRPr="00C91172">
        <w:rPr>
          <w:rFonts w:ascii="Times New Roman" w:hAnsi="Times New Roman" w:cs="Times New Roman"/>
          <w:sz w:val="28"/>
          <w:szCs w:val="28"/>
        </w:rPr>
        <w:t xml:space="preserve"> собираемости налога. При расчете прогноза также учтена корректирующая сумма поступлений, учитывающая изменения законодательства, которые вступают </w:t>
      </w:r>
      <w:r w:rsidR="006431B7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C91172">
        <w:rPr>
          <w:rFonts w:ascii="Times New Roman" w:hAnsi="Times New Roman" w:cs="Times New Roman"/>
          <w:sz w:val="28"/>
          <w:szCs w:val="28"/>
        </w:rPr>
        <w:t>с 01.01.2025</w:t>
      </w:r>
      <w:r w:rsidR="006431B7">
        <w:rPr>
          <w:rFonts w:ascii="Times New Roman" w:hAnsi="Times New Roman" w:cs="Times New Roman"/>
          <w:sz w:val="28"/>
          <w:szCs w:val="28"/>
        </w:rPr>
        <w:t>,</w:t>
      </w:r>
      <w:r w:rsidRPr="00C91172">
        <w:rPr>
          <w:rFonts w:ascii="Times New Roman" w:hAnsi="Times New Roman" w:cs="Times New Roman"/>
          <w:sz w:val="28"/>
          <w:szCs w:val="28"/>
        </w:rPr>
        <w:t xml:space="preserve"> о переносе срока уплаты налога.  </w:t>
      </w:r>
    </w:p>
    <w:p w:rsidR="00081D6E" w:rsidRPr="00FD2285" w:rsidRDefault="00081D6E" w:rsidP="00081D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8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6 году прогнозируемый объем налога составит 12959,0 тыс. руб. со снижением к прогнозу предыдущего года на 21,6 %, в 2027 </w:t>
      </w:r>
      <w:r w:rsidRPr="00FD22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 – 12909,0 тыс. руб. со снижением к прогнозу 2026 года на 0,4 %.</w:t>
      </w:r>
    </w:p>
    <w:p w:rsidR="00081D6E" w:rsidRPr="008D1F04" w:rsidRDefault="00081D6E" w:rsidP="00081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6E" w:rsidRPr="00D861F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D86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налога на имущество физических лиц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23786,0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1962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показателей 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8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F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61FE">
        <w:rPr>
          <w:rFonts w:ascii="Times New Roman" w:hAnsi="Times New Roman" w:cs="Times New Roman"/>
          <w:sz w:val="28"/>
          <w:szCs w:val="28"/>
        </w:rPr>
        <w:t xml:space="preserve"> год прогноз поступления налога на имущество физических лиц спрогнозирован администратором </w:t>
      </w:r>
      <w:r>
        <w:rPr>
          <w:rFonts w:ascii="Times New Roman" w:hAnsi="Times New Roman" w:cs="Times New Roman"/>
          <w:sz w:val="28"/>
          <w:szCs w:val="28"/>
        </w:rPr>
        <w:t>дохода У</w:t>
      </w:r>
      <w:r w:rsidRPr="00D861FE">
        <w:rPr>
          <w:rFonts w:ascii="Times New Roman" w:hAnsi="Times New Roman" w:cs="Times New Roman"/>
          <w:sz w:val="28"/>
          <w:szCs w:val="28"/>
        </w:rPr>
        <w:t>ФНС России по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61FE">
        <w:rPr>
          <w:rFonts w:ascii="Times New Roman" w:hAnsi="Times New Roman" w:cs="Times New Roman"/>
          <w:sz w:val="28"/>
          <w:szCs w:val="28"/>
        </w:rPr>
        <w:t xml:space="preserve"> исходя из </w:t>
      </w:r>
      <w:r>
        <w:rPr>
          <w:rFonts w:ascii="Times New Roman" w:hAnsi="Times New Roman" w:cs="Times New Roman"/>
          <w:sz w:val="28"/>
          <w:szCs w:val="28"/>
        </w:rPr>
        <w:t>динамики налоговой базы и ставок налога, в том числе по объектам торгово-офисного назначения.</w:t>
      </w:r>
      <w:r w:rsidRPr="00D86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расчете учтена сумма недоимки в размере 505,0 тыс. руб.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2026-2027 годах поступление налога ежегодно прогнозируется на уровне 2025 года – 23786,0 тыс. руб.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9F5631">
        <w:rPr>
          <w:rFonts w:ascii="Times New Roman" w:hAnsi="Times New Roman" w:cs="Times New Roman"/>
          <w:b/>
          <w:sz w:val="28"/>
          <w:szCs w:val="28"/>
        </w:rPr>
        <w:t>налога на имущество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2025 году составят 15944,0 тыс. руб. (по нормативу отчислений в городской бюджет 20%).</w:t>
      </w:r>
    </w:p>
    <w:p w:rsidR="00081D6E" w:rsidRDefault="00081D6E" w:rsidP="00081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31B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3544"/>
        <w:gridCol w:w="1985"/>
        <w:gridCol w:w="1275"/>
        <w:gridCol w:w="1276"/>
        <w:gridCol w:w="1276"/>
      </w:tblGrid>
      <w:tr w:rsidR="00081D6E" w:rsidTr="00592285">
        <w:tc>
          <w:tcPr>
            <w:tcW w:w="3544" w:type="dxa"/>
          </w:tcPr>
          <w:p w:rsidR="00081D6E" w:rsidRPr="004531BA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31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</w:tcPr>
          <w:p w:rsidR="00081D6E" w:rsidRPr="00EC5D5C" w:rsidRDefault="00081D6E" w:rsidP="005922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081D6E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</w:t>
            </w:r>
            <w:proofErr w:type="gramEnd"/>
          </w:p>
          <w:p w:rsidR="00081D6E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  <w:p w:rsidR="00081D6E" w:rsidRPr="004531BA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4/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20)</w:t>
            </w:r>
            <w:proofErr w:type="gramEnd"/>
          </w:p>
        </w:tc>
        <w:tc>
          <w:tcPr>
            <w:tcW w:w="1275" w:type="dxa"/>
          </w:tcPr>
          <w:p w:rsidR="00081D6E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  <w:p w:rsidR="00081D6E" w:rsidRPr="004531BA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76" w:type="dxa"/>
          </w:tcPr>
          <w:p w:rsidR="00081D6E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  <w:p w:rsidR="00081D6E" w:rsidRPr="004531BA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76" w:type="dxa"/>
          </w:tcPr>
          <w:p w:rsidR="00081D6E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  <w:p w:rsidR="00081D6E" w:rsidRPr="004531BA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081D6E" w:rsidTr="00592285">
        <w:tc>
          <w:tcPr>
            <w:tcW w:w="3544" w:type="dxa"/>
          </w:tcPr>
          <w:p w:rsidR="00081D6E" w:rsidRPr="004531BA" w:rsidRDefault="00081D6E" w:rsidP="005922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31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985" w:type="dxa"/>
          </w:tcPr>
          <w:p w:rsidR="00081D6E" w:rsidRPr="004531BA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15286,0</w:t>
            </w:r>
          </w:p>
        </w:tc>
        <w:tc>
          <w:tcPr>
            <w:tcW w:w="1275" w:type="dxa"/>
          </w:tcPr>
          <w:p w:rsidR="00081D6E" w:rsidRPr="004531BA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15944,0</w:t>
            </w:r>
          </w:p>
        </w:tc>
        <w:tc>
          <w:tcPr>
            <w:tcW w:w="1276" w:type="dxa"/>
          </w:tcPr>
          <w:p w:rsidR="00081D6E" w:rsidRPr="004531BA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15017,0</w:t>
            </w:r>
          </w:p>
        </w:tc>
        <w:tc>
          <w:tcPr>
            <w:tcW w:w="1276" w:type="dxa"/>
          </w:tcPr>
          <w:p w:rsidR="00081D6E" w:rsidRPr="004531BA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14869,0</w:t>
            </w:r>
          </w:p>
        </w:tc>
      </w:tr>
      <w:tr w:rsidR="00081D6E" w:rsidTr="00592285">
        <w:tc>
          <w:tcPr>
            <w:tcW w:w="3544" w:type="dxa"/>
          </w:tcPr>
          <w:p w:rsidR="00081D6E" w:rsidRPr="004531BA" w:rsidRDefault="00081D6E" w:rsidP="0059228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Темп роста, % к пред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985" w:type="dxa"/>
          </w:tcPr>
          <w:p w:rsidR="00081D6E" w:rsidRPr="005D617A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1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5" w:type="dxa"/>
          </w:tcPr>
          <w:p w:rsidR="00081D6E" w:rsidRPr="00F46391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276" w:type="dxa"/>
          </w:tcPr>
          <w:p w:rsidR="00081D6E" w:rsidRPr="00F46391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276" w:type="dxa"/>
          </w:tcPr>
          <w:p w:rsidR="00081D6E" w:rsidRPr="00F46391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81D6E" w:rsidTr="00592285">
        <w:tc>
          <w:tcPr>
            <w:tcW w:w="3544" w:type="dxa"/>
          </w:tcPr>
          <w:p w:rsidR="00081D6E" w:rsidRPr="004531BA" w:rsidRDefault="00081D6E" w:rsidP="005922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 в действие основных фондов</w:t>
            </w:r>
          </w:p>
        </w:tc>
        <w:tc>
          <w:tcPr>
            <w:tcW w:w="1985" w:type="dxa"/>
          </w:tcPr>
          <w:p w:rsidR="00081D6E" w:rsidRPr="003A01E6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296515,0</w:t>
            </w:r>
          </w:p>
        </w:tc>
        <w:tc>
          <w:tcPr>
            <w:tcW w:w="1275" w:type="dxa"/>
          </w:tcPr>
          <w:p w:rsidR="00081D6E" w:rsidRPr="003A01E6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265216,0</w:t>
            </w:r>
          </w:p>
        </w:tc>
        <w:tc>
          <w:tcPr>
            <w:tcW w:w="1276" w:type="dxa"/>
          </w:tcPr>
          <w:p w:rsidR="00081D6E" w:rsidRPr="003A01E6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274771,0</w:t>
            </w:r>
          </w:p>
        </w:tc>
        <w:tc>
          <w:tcPr>
            <w:tcW w:w="1276" w:type="dxa"/>
          </w:tcPr>
          <w:p w:rsidR="00081D6E" w:rsidRPr="003A01E6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283200,0</w:t>
            </w:r>
          </w:p>
        </w:tc>
      </w:tr>
      <w:tr w:rsidR="00081D6E" w:rsidTr="00592285">
        <w:tc>
          <w:tcPr>
            <w:tcW w:w="3544" w:type="dxa"/>
          </w:tcPr>
          <w:p w:rsidR="00081D6E" w:rsidRPr="004531BA" w:rsidRDefault="00081D6E" w:rsidP="005922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Темп роста, % к пред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985" w:type="dxa"/>
          </w:tcPr>
          <w:p w:rsidR="00081D6E" w:rsidRPr="00DA2DC6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75" w:type="dxa"/>
          </w:tcPr>
          <w:p w:rsidR="00081D6E" w:rsidRPr="00F46391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76" w:type="dxa"/>
          </w:tcPr>
          <w:p w:rsidR="00081D6E" w:rsidRPr="00F46391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6" w:type="dxa"/>
          </w:tcPr>
          <w:p w:rsidR="00081D6E" w:rsidRPr="00F46391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081D6E" w:rsidTr="00592285">
        <w:tc>
          <w:tcPr>
            <w:tcW w:w="3544" w:type="dxa"/>
          </w:tcPr>
          <w:p w:rsidR="00081D6E" w:rsidRPr="004531BA" w:rsidRDefault="00081D6E" w:rsidP="005922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Остаточная балансовая стоимость основных фондов</w:t>
            </w:r>
            <w:r w:rsidR="00FF0F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млн. руб.</w:t>
            </w:r>
          </w:p>
        </w:tc>
        <w:tc>
          <w:tcPr>
            <w:tcW w:w="1985" w:type="dxa"/>
          </w:tcPr>
          <w:p w:rsidR="00081D6E" w:rsidRPr="00DA2DC6" w:rsidRDefault="00081D6E" w:rsidP="00FF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2930</w:t>
            </w:r>
            <w:r w:rsidR="00FF0F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081D6E" w:rsidRPr="00DA2DC6" w:rsidRDefault="00081D6E" w:rsidP="00FF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2895</w:t>
            </w:r>
            <w:r w:rsidR="00FF0F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81D6E" w:rsidRPr="00DA2DC6" w:rsidRDefault="00081D6E" w:rsidP="00FF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2860</w:t>
            </w:r>
            <w:r w:rsidR="00FF0F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81D6E" w:rsidRPr="00DA2DC6" w:rsidRDefault="00081D6E" w:rsidP="00FF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2826</w:t>
            </w:r>
            <w:r w:rsidR="00FF0F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081D6E" w:rsidTr="00592285">
        <w:tc>
          <w:tcPr>
            <w:tcW w:w="3544" w:type="dxa"/>
          </w:tcPr>
          <w:p w:rsidR="00081D6E" w:rsidRPr="004531BA" w:rsidRDefault="00081D6E" w:rsidP="005922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Темп роста, % к пред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4531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985" w:type="dxa"/>
          </w:tcPr>
          <w:p w:rsidR="00081D6E" w:rsidRPr="00DA2DC6" w:rsidRDefault="00081D6E" w:rsidP="00FF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</w:t>
            </w:r>
            <w:r w:rsidR="00FF0F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81D6E" w:rsidRPr="00F46391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76" w:type="dxa"/>
          </w:tcPr>
          <w:p w:rsidR="00081D6E" w:rsidRPr="00F46391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76" w:type="dxa"/>
          </w:tcPr>
          <w:p w:rsidR="00081D6E" w:rsidRPr="00F46391" w:rsidRDefault="00081D6E" w:rsidP="005922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98,8</w:t>
            </w:r>
          </w:p>
        </w:tc>
      </w:tr>
    </w:tbl>
    <w:p w:rsidR="00081D6E" w:rsidRPr="00E0043E" w:rsidRDefault="00081D6E" w:rsidP="00081D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D6E" w:rsidRPr="00993999" w:rsidRDefault="00081D6E" w:rsidP="00081D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9">
        <w:rPr>
          <w:rFonts w:ascii="Times New Roman" w:eastAsia="Calibri" w:hAnsi="Times New Roman" w:cs="Times New Roman"/>
          <w:sz w:val="28"/>
          <w:szCs w:val="28"/>
        </w:rPr>
        <w:t>Прогноз поступлений налога на 2025 год базировался на показателях налоговой базы отчетного налогового периода 2023 года по объектам недвижимого имущества, облагаемым по среднегодовой стоимости</w:t>
      </w:r>
      <w:r w:rsidR="00FF0F95">
        <w:rPr>
          <w:rFonts w:ascii="Times New Roman" w:eastAsia="Calibri" w:hAnsi="Times New Roman" w:cs="Times New Roman"/>
          <w:sz w:val="28"/>
          <w:szCs w:val="28"/>
        </w:rPr>
        <w:t>,</w:t>
      </w:r>
      <w:r w:rsidRPr="00993999">
        <w:rPr>
          <w:rFonts w:ascii="Times New Roman" w:eastAsia="Calibri" w:hAnsi="Times New Roman" w:cs="Times New Roman"/>
          <w:sz w:val="28"/>
          <w:szCs w:val="28"/>
        </w:rPr>
        <w:t xml:space="preserve"> и по объектам торгово-офисной недвижимости, облагаемым по кадастровой стоимости</w:t>
      </w:r>
      <w:r w:rsidRPr="0099399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 параметрах прогнозируемых поступлений учтено</w:t>
      </w:r>
      <w:r w:rsidRPr="00993999">
        <w:rPr>
          <w:rFonts w:ascii="Times New Roman" w:eastAsia="Calibri" w:hAnsi="Times New Roman" w:cs="Times New Roman"/>
          <w:sz w:val="28"/>
          <w:szCs w:val="28"/>
        </w:rPr>
        <w:t xml:space="preserve"> повышение налоговой ставки в отношении объектов недвижимого имущества, налоговая база по которым определяется как кадастровая стоимость</w:t>
      </w:r>
      <w:r w:rsidR="005C300E">
        <w:rPr>
          <w:rFonts w:ascii="Times New Roman" w:eastAsia="Calibri" w:hAnsi="Times New Roman" w:cs="Times New Roman"/>
          <w:sz w:val="28"/>
          <w:szCs w:val="28"/>
        </w:rPr>
        <w:t>,</w:t>
      </w:r>
      <w:r w:rsidRPr="00993999">
        <w:rPr>
          <w:rFonts w:ascii="Times New Roman" w:eastAsia="Calibri" w:hAnsi="Times New Roman" w:cs="Times New Roman"/>
          <w:sz w:val="28"/>
          <w:szCs w:val="28"/>
        </w:rPr>
        <w:t xml:space="preserve"> с 1,5% в 2024 году до 1,6% в 2025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93999">
        <w:rPr>
          <w:rFonts w:ascii="Times New Roman" w:eastAsia="Calibri" w:hAnsi="Times New Roman" w:cs="Times New Roman"/>
          <w:sz w:val="28"/>
          <w:szCs w:val="28"/>
        </w:rPr>
        <w:t>прогнозируемый темп роста остаточной балансовой стоимости основных фондов по городу к оценке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93999">
        <w:rPr>
          <w:rFonts w:ascii="Times New Roman" w:eastAsia="Calibri" w:hAnsi="Times New Roman" w:cs="Times New Roman"/>
          <w:sz w:val="28"/>
          <w:szCs w:val="28"/>
        </w:rPr>
        <w:t>уровень собираемости налога</w:t>
      </w:r>
      <w:r w:rsidRPr="00993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D6E" w:rsidRDefault="00081D6E" w:rsidP="00081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налог спрогнозирован со снижением на 5,8%</w:t>
      </w:r>
      <w:r w:rsidRPr="00592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составит 15017,0 тыс. руб., на 2027 год – со снижением к предыдущему году на 1% и составит 14869,0 тыс. руб.</w:t>
      </w:r>
    </w:p>
    <w:p w:rsidR="00081D6E" w:rsidRDefault="00081D6E" w:rsidP="00081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0F95" w:rsidRDefault="00081D6E" w:rsidP="00FF0F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Прогнозируемая на 2025 год сумма поступлений в бюджет </w:t>
      </w:r>
      <w:r w:rsidRPr="00DD27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земельного налога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 6431,0</w:t>
      </w:r>
      <w:r w:rsidR="00DF6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руб., что выше прогнозного плана поступлений на 2024 год на 359,0 тыс. руб., или на 5,9%.</w:t>
      </w:r>
      <w:r w:rsidR="00FF0F95" w:rsidRPr="00F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2026-2027 годах земельный налог спрогнозирован на уровне 2025 года.</w:t>
      </w:r>
    </w:p>
    <w:p w:rsidR="00081D6E" w:rsidRPr="00D10077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1843"/>
        <w:gridCol w:w="1985"/>
        <w:gridCol w:w="992"/>
        <w:gridCol w:w="992"/>
        <w:gridCol w:w="992"/>
        <w:gridCol w:w="851"/>
        <w:gridCol w:w="850"/>
        <w:gridCol w:w="958"/>
      </w:tblGrid>
      <w:tr w:rsidR="00081D6E" w:rsidRPr="003D339D" w:rsidTr="00592285">
        <w:tc>
          <w:tcPr>
            <w:tcW w:w="1843" w:type="dxa"/>
            <w:vMerge w:val="restart"/>
          </w:tcPr>
          <w:p w:rsidR="00081D6E" w:rsidRPr="003D339D" w:rsidRDefault="00081D6E" w:rsidP="0059228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081D6E" w:rsidRPr="00EC5D5C" w:rsidRDefault="00081D6E" w:rsidP="0059228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081D6E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 xml:space="preserve">(решение В-П городской Думы </w:t>
            </w:r>
            <w:proofErr w:type="gramEnd"/>
          </w:p>
          <w:p w:rsidR="00081D6E" w:rsidRDefault="00081D6E" w:rsidP="005922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D5C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5D5C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4/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C5D5C">
              <w:rPr>
                <w:rFonts w:ascii="Times New Roman" w:hAnsi="Times New Roman"/>
                <w:sz w:val="18"/>
                <w:szCs w:val="18"/>
              </w:rPr>
              <w:t>20)</w:t>
            </w:r>
            <w:proofErr w:type="gramEnd"/>
          </w:p>
        </w:tc>
        <w:tc>
          <w:tcPr>
            <w:tcW w:w="2976" w:type="dxa"/>
            <w:gridSpan w:val="3"/>
          </w:tcPr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  <w:tc>
          <w:tcPr>
            <w:tcW w:w="2659" w:type="dxa"/>
            <w:gridSpan w:val="3"/>
          </w:tcPr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Рост, снижение, %</w:t>
            </w:r>
          </w:p>
        </w:tc>
      </w:tr>
      <w:tr w:rsidR="00081D6E" w:rsidRPr="003D339D" w:rsidTr="00592285">
        <w:tc>
          <w:tcPr>
            <w:tcW w:w="1843" w:type="dxa"/>
            <w:vMerge/>
          </w:tcPr>
          <w:p w:rsidR="00081D6E" w:rsidRDefault="00081D6E" w:rsidP="0059228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2025/</w:t>
            </w: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2026/</w:t>
            </w: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58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2027/</w:t>
            </w: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081D6E" w:rsidRPr="003D339D" w:rsidTr="00592285">
        <w:tc>
          <w:tcPr>
            <w:tcW w:w="1843" w:type="dxa"/>
          </w:tcPr>
          <w:p w:rsidR="00081D6E" w:rsidRPr="003D339D" w:rsidRDefault="00081D6E" w:rsidP="0059228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налог, тыс. руб.</w:t>
            </w:r>
          </w:p>
        </w:tc>
        <w:tc>
          <w:tcPr>
            <w:tcW w:w="1985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6072,0</w:t>
            </w:r>
          </w:p>
        </w:tc>
        <w:tc>
          <w:tcPr>
            <w:tcW w:w="992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6431,0</w:t>
            </w:r>
          </w:p>
        </w:tc>
        <w:tc>
          <w:tcPr>
            <w:tcW w:w="992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6431,0</w:t>
            </w:r>
          </w:p>
        </w:tc>
        <w:tc>
          <w:tcPr>
            <w:tcW w:w="992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6431,0</w:t>
            </w:r>
          </w:p>
        </w:tc>
        <w:tc>
          <w:tcPr>
            <w:tcW w:w="851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850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8" w:type="dxa"/>
          </w:tcPr>
          <w:p w:rsidR="00081D6E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D6E" w:rsidRPr="003D339D" w:rsidRDefault="00081D6E" w:rsidP="005922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081D6E" w:rsidRPr="00D10077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D6E" w:rsidRPr="00FB51C3" w:rsidRDefault="00081D6E" w:rsidP="00081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1C3">
        <w:rPr>
          <w:rFonts w:ascii="Times New Roman" w:hAnsi="Times New Roman" w:cs="Times New Roman"/>
          <w:sz w:val="28"/>
          <w:szCs w:val="28"/>
        </w:rPr>
        <w:t>Прогноз поступлений</w:t>
      </w:r>
      <w:r w:rsidRPr="00FB51C3">
        <w:rPr>
          <w:rFonts w:ascii="Times New Roman" w:eastAsia="Calibri" w:hAnsi="Times New Roman" w:cs="Times New Roman"/>
          <w:sz w:val="28"/>
          <w:szCs w:val="28"/>
        </w:rPr>
        <w:t xml:space="preserve"> земельного налога на 2025 год рассчитан исходя из налоговой базы отчетного налогового периода 2023 года. </w:t>
      </w:r>
    </w:p>
    <w:p w:rsidR="00081D6E" w:rsidRPr="00FB51C3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C3">
        <w:rPr>
          <w:rFonts w:ascii="Times New Roman" w:eastAsia="Calibri" w:hAnsi="Times New Roman" w:cs="Times New Roman"/>
          <w:sz w:val="28"/>
          <w:szCs w:val="28"/>
        </w:rPr>
        <w:t>При прогнозировании земельного налога учтены темпы роста кадастровой стоимости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B51C3">
        <w:rPr>
          <w:rFonts w:ascii="Times New Roman" w:eastAsia="Calibri" w:hAnsi="Times New Roman" w:cs="Times New Roman"/>
          <w:sz w:val="28"/>
          <w:szCs w:val="28"/>
        </w:rPr>
        <w:t xml:space="preserve"> ставки по земельному налогу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B51C3">
        <w:rPr>
          <w:rFonts w:ascii="Times New Roman" w:eastAsia="Calibri" w:hAnsi="Times New Roman" w:cs="Times New Roman"/>
          <w:sz w:val="28"/>
          <w:szCs w:val="28"/>
        </w:rPr>
        <w:t xml:space="preserve"> уровень собираемости налога</w:t>
      </w:r>
      <w:r w:rsidRPr="00FB51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081D6E" w:rsidRDefault="00081D6E" w:rsidP="00081D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прогноза также учтены дополнительные поступления в виде неисполненных обязательств налогоплательщиков </w:t>
      </w:r>
      <w:r w:rsidR="00F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168,0 тыс. руб.</w:t>
      </w:r>
    </w:p>
    <w:p w:rsidR="00081D6E" w:rsidRDefault="00081D6E" w:rsidP="00081D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6E" w:rsidRPr="009B3ED0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B012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рогноз поступления </w:t>
      </w:r>
      <w:r w:rsidRPr="004440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госпошлины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2025 год составляет 6034,0 тыс. руб., что на 291,0 тыс. руб., или на 4,6% меньше плана 2024 года. На </w:t>
      </w:r>
      <w:r w:rsidR="00FF0F95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плановый период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поступления госпошлины спрогнозированы</w:t>
      </w:r>
      <w:r w:rsidR="00FF0F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ежегодным ростом к предыдущему периоду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4,5%</w:t>
      </w:r>
      <w:r w:rsidR="00FF0F9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прогнозируемых поступлений госпошлины </w:t>
      </w:r>
      <w:r w:rsidR="00FF0F95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99% ежегодно приходится на государственную пошлину по делам, рассматриваемым в судах общей юрисдикции, мировыми судьями. Доля государственной пошлины за выдачу разрешения на установку рекламной конструкции незначительна (составляет 25,0 тыс. руб.).</w:t>
      </w: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 поступления доходов от государственной пошлины </w:t>
      </w:r>
      <w:r w:rsidRPr="00DE134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рассчит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 главными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61FE">
        <w:rPr>
          <w:rFonts w:ascii="Times New Roman" w:hAnsi="Times New Roman" w:cs="Times New Roman"/>
          <w:sz w:val="28"/>
          <w:szCs w:val="28"/>
        </w:rPr>
        <w:t>ФНС России по Кировской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Управлением по делам муниципальной собственности.</w:t>
      </w:r>
    </w:p>
    <w:p w:rsidR="007E051E" w:rsidRDefault="007E051E" w:rsidP="0008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D6E" w:rsidRPr="001B7EC9" w:rsidRDefault="00081D6E" w:rsidP="0008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Неналоговые доходы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годах</w:t>
      </w:r>
    </w:p>
    <w:p w:rsidR="00081D6E" w:rsidRPr="00832A49" w:rsidRDefault="00081D6E" w:rsidP="00081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6E" w:rsidRPr="001B7EC9" w:rsidRDefault="00081D6E" w:rsidP="00081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EC9">
        <w:rPr>
          <w:rFonts w:ascii="Times New Roman" w:eastAsia="Calibri" w:hAnsi="Times New Roman" w:cs="Times New Roman"/>
          <w:bCs/>
          <w:sz w:val="28"/>
          <w:szCs w:val="28"/>
        </w:rPr>
        <w:t xml:space="preserve">Объем </w:t>
      </w:r>
      <w:r w:rsidRPr="00EB54E9">
        <w:rPr>
          <w:rFonts w:ascii="Times New Roman" w:eastAsia="Calibri" w:hAnsi="Times New Roman" w:cs="Times New Roman"/>
          <w:b/>
          <w:bCs/>
          <w:sz w:val="28"/>
          <w:szCs w:val="28"/>
        </w:rPr>
        <w:t>неналоговых доходов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3F50">
        <w:rPr>
          <w:rFonts w:ascii="Times New Roman" w:eastAsia="Calibri" w:hAnsi="Times New Roman" w:cs="Times New Roman"/>
          <w:sz w:val="28"/>
          <w:szCs w:val="28"/>
        </w:rPr>
        <w:t>с</w:t>
      </w:r>
      <w:r w:rsidRPr="001B7EC9">
        <w:rPr>
          <w:rFonts w:ascii="Times New Roman" w:eastAsia="Calibri" w:hAnsi="Times New Roman" w:cs="Times New Roman"/>
          <w:sz w:val="28"/>
          <w:szCs w:val="28"/>
        </w:rPr>
        <w:t>прогнозир</w:t>
      </w:r>
      <w:r w:rsidR="00A23F50">
        <w:rPr>
          <w:rFonts w:ascii="Times New Roman" w:eastAsia="Calibri" w:hAnsi="Times New Roman" w:cs="Times New Roman"/>
          <w:sz w:val="28"/>
          <w:szCs w:val="28"/>
        </w:rPr>
        <w:t>ован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65658,1 тыс</w:t>
      </w:r>
      <w:r w:rsidRPr="001B7EC9">
        <w:rPr>
          <w:rFonts w:ascii="Times New Roman" w:eastAsia="Calibri" w:hAnsi="Times New Roman" w:cs="Times New Roman"/>
          <w:sz w:val="28"/>
          <w:szCs w:val="28"/>
        </w:rPr>
        <w:t>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>
        <w:rPr>
          <w:rFonts w:ascii="Times New Roman" w:eastAsia="Calibri" w:hAnsi="Times New Roman" w:cs="Times New Roman"/>
          <w:sz w:val="28"/>
          <w:szCs w:val="28"/>
        </w:rPr>
        <w:t>ниже планируемых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 поступлений текущего года на </w:t>
      </w:r>
      <w:r>
        <w:rPr>
          <w:rFonts w:ascii="Times New Roman" w:eastAsia="Calibri" w:hAnsi="Times New Roman" w:cs="Times New Roman"/>
          <w:sz w:val="28"/>
          <w:szCs w:val="28"/>
        </w:rPr>
        <w:t>18412,0 тыс</w:t>
      </w:r>
      <w:r w:rsidRPr="001B7EC9">
        <w:rPr>
          <w:rFonts w:ascii="Times New Roman" w:eastAsia="Calibri" w:hAnsi="Times New Roman" w:cs="Times New Roman"/>
          <w:sz w:val="28"/>
          <w:szCs w:val="28"/>
        </w:rPr>
        <w:t>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>
        <w:rPr>
          <w:rFonts w:ascii="Times New Roman" w:eastAsia="Calibri" w:hAnsi="Times New Roman" w:cs="Times New Roman"/>
          <w:sz w:val="28"/>
          <w:szCs w:val="28"/>
        </w:rPr>
        <w:t>21,9</w:t>
      </w:r>
      <w:r w:rsidRPr="001B7EC9">
        <w:rPr>
          <w:rFonts w:ascii="Times New Roman" w:eastAsia="Calibri" w:hAnsi="Times New Roman" w:cs="Times New Roman"/>
          <w:sz w:val="28"/>
          <w:szCs w:val="28"/>
        </w:rPr>
        <w:t>%. Доля неналоговых доходов в общем объеме доходов в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1B7EC9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5,3%</w:t>
      </w:r>
      <w:r w:rsidRPr="001B7E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1D6E" w:rsidRPr="0023542E" w:rsidRDefault="00081D6E" w:rsidP="00081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EC9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6 году неналоговые доходы прогнозируются со снижением к прогнозу 2025 года на 18,6</w:t>
      </w:r>
      <w:r w:rsidRPr="001B7EC9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составят 53450,0 тыс. руб. На 2027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спрогнозированы в размере 53374,0 тыс. руб. с</w:t>
      </w:r>
      <w:r w:rsidR="006B2C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снижением к предыдущему году </w:t>
      </w:r>
      <w:r w:rsidR="006B2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0,1%</w:t>
      </w:r>
      <w:r w:rsidRPr="001B7E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неналоговых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23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2C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B2C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23F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AE8" w:rsidRPr="00E0043E" w:rsidRDefault="00F21AE8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992"/>
        <w:gridCol w:w="850"/>
        <w:gridCol w:w="709"/>
        <w:gridCol w:w="851"/>
        <w:gridCol w:w="708"/>
        <w:gridCol w:w="851"/>
        <w:gridCol w:w="567"/>
        <w:gridCol w:w="850"/>
        <w:gridCol w:w="567"/>
      </w:tblGrid>
      <w:tr w:rsidR="00081D6E" w:rsidRPr="001B7EC9" w:rsidTr="00592285">
        <w:trPr>
          <w:cantSplit/>
          <w:trHeight w:val="3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E" w:rsidRPr="001B7EC9" w:rsidRDefault="00081D6E" w:rsidP="00592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  <w:r w:rsidR="00A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</w:t>
            </w:r>
            <w:r w:rsidR="00A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</w:t>
            </w:r>
            <w:r w:rsidR="00A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</w:t>
            </w:r>
            <w:r w:rsidR="00A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81D6E" w:rsidRPr="001B7EC9" w:rsidRDefault="00081D6E" w:rsidP="00592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решение В-П городской Думы от 29.10.2024              № 34/320</w:t>
            </w:r>
            <w:r w:rsidRPr="001B7E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81D6E" w:rsidRPr="001B7EC9" w:rsidRDefault="00081D6E" w:rsidP="00592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81D6E" w:rsidRPr="001B7EC9" w:rsidRDefault="00081D6E" w:rsidP="00592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81D6E" w:rsidRPr="001B7EC9" w:rsidRDefault="00081D6E" w:rsidP="00592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081D6E" w:rsidRPr="001B7EC9" w:rsidTr="00592285">
        <w:trPr>
          <w:cantSplit/>
          <w:trHeight w:val="36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081D6E" w:rsidRPr="001B7EC9" w:rsidTr="00592285">
        <w:trPr>
          <w:trHeight w:val="2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DF241B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2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Неналоговые доходы всего, </w:t>
            </w:r>
          </w:p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DF2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F0A8A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71763,1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F0A8A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84070,1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F0A8A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F0A8A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65658,1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F0A8A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F0A8A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F0A8A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F0A8A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53374,0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F0A8A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081D6E" w:rsidRPr="001B7EC9" w:rsidTr="00592285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5877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736C34" w:rsidRDefault="006B2C9D" w:rsidP="006B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566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6B2C9D" w:rsidP="006B2C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6B2C9D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6B2C9D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6B2C9D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081D6E" w:rsidRPr="001B7EC9" w:rsidTr="00592285">
        <w:trPr>
          <w:trHeight w:val="1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5877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736C34" w:rsidRDefault="006B2C9D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566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6B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F0A8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B2C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6B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6B2C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81D6E" w:rsidRPr="001B7EC9" w:rsidTr="00592285">
        <w:trPr>
          <w:trHeight w:val="1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86966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соглашению об установлении сервитута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86966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736C34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C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386966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E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E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1D6E" w:rsidRPr="001B7EC9" w:rsidTr="00592285">
        <w:trPr>
          <w:trHeight w:val="1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E1538C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E1538C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736C34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E1538C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6B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B2C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81D6E" w:rsidRPr="001B7EC9" w:rsidTr="005922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прибыли остающейся в распоряжении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5877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6B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6B2C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566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081D6E" w:rsidRPr="001B7EC9" w:rsidTr="005922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B7EC9" w:rsidRDefault="00081D6E" w:rsidP="00A23F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негативное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воздей</w:t>
            </w:r>
            <w:r w:rsidR="00A23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5877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566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6B2C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081D6E" w:rsidRPr="001B7EC9" w:rsidTr="005922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5877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566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6B2C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6B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6B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</w:t>
            </w:r>
            <w:r w:rsidR="006B2C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6B2C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6B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B2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</w:tr>
      <w:tr w:rsidR="00081D6E" w:rsidRPr="001B7EC9" w:rsidTr="005922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5877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566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E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1D6E" w:rsidRPr="001B7EC9" w:rsidTr="005922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5877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6B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6B2C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566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E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1D6E" w:rsidRPr="001B7EC9" w:rsidTr="00592285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5877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566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6B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6B2C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81D6E" w:rsidRPr="001B7EC9" w:rsidTr="00592285">
        <w:trPr>
          <w:trHeight w:val="3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5877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566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E38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081D6E" w:rsidRPr="001B7EC9" w:rsidTr="00592285">
        <w:trPr>
          <w:trHeight w:val="2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B7EC9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5877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1566B3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4C2943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943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6E" w:rsidRPr="000C2E38" w:rsidRDefault="00081D6E" w:rsidP="005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</w:tbl>
    <w:p w:rsidR="00081D6E" w:rsidRPr="00E0043E" w:rsidRDefault="00081D6E" w:rsidP="00081D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D6E" w:rsidRPr="00262171" w:rsidRDefault="00081D6E" w:rsidP="00081D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71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2171">
        <w:rPr>
          <w:rFonts w:ascii="Times New Roman" w:hAnsi="Times New Roman" w:cs="Times New Roman"/>
          <w:sz w:val="28"/>
          <w:szCs w:val="28"/>
        </w:rPr>
        <w:t xml:space="preserve"> году основную долю (более </w:t>
      </w:r>
      <w:r w:rsidR="006B2C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2171">
        <w:rPr>
          <w:rFonts w:ascii="Times New Roman" w:hAnsi="Times New Roman" w:cs="Times New Roman"/>
          <w:sz w:val="28"/>
          <w:szCs w:val="28"/>
        </w:rPr>
        <w:t>%) неналоговых доходов составят доходы от оказания платных услуг, доходы, получаемые в виде арендной платы за земельные участки</w:t>
      </w:r>
      <w:r w:rsidR="003A2236">
        <w:rPr>
          <w:rFonts w:ascii="Times New Roman" w:hAnsi="Times New Roman" w:cs="Times New Roman"/>
          <w:sz w:val="28"/>
          <w:szCs w:val="28"/>
        </w:rPr>
        <w:t>,</w:t>
      </w:r>
      <w:r w:rsidRPr="00262171">
        <w:rPr>
          <w:rFonts w:ascii="Times New Roman" w:hAnsi="Times New Roman" w:cs="Times New Roman"/>
          <w:sz w:val="28"/>
          <w:szCs w:val="28"/>
        </w:rPr>
        <w:t xml:space="preserve"> и доходы от реализации земельных участков.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217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62171">
        <w:rPr>
          <w:rFonts w:ascii="Times New Roman" w:hAnsi="Times New Roman" w:cs="Times New Roman"/>
          <w:sz w:val="28"/>
          <w:szCs w:val="28"/>
        </w:rPr>
        <w:t xml:space="preserve"> годах более 70% неналоговых доходов составят доходы от оказания платных услуг. </w:t>
      </w:r>
    </w:p>
    <w:p w:rsidR="00081D6E" w:rsidRDefault="00081D6E" w:rsidP="00081D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6E" w:rsidRPr="0058308C" w:rsidRDefault="00081D6E" w:rsidP="00081D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получаемые в виде </w:t>
      </w:r>
      <w:r w:rsidRPr="0058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арендной платы за земельные участки,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прогнозируются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6756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поступлений текущего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081D6E" w:rsidRPr="0058308C" w:rsidRDefault="00081D6E" w:rsidP="00081D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прогноза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арендной платы за землю произведен в соответствии с Порядком определения размера арендной платы, утвержденным постановлением Правительства Кировской области от 20.09.2019 № 483-П, и </w:t>
      </w:r>
      <w:r w:rsidR="003A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определения кадастровой стоимости земельных участков, утвержденных распоряжением министерства имущественных отношений и инвестиционной политики Кировской области от 23.11.2020 № 1245, а также учтены </w:t>
      </w:r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поступления в виде неисполненных обязательств должников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2250,0</w:t>
      </w:r>
      <w:proofErr w:type="gramEnd"/>
      <w:r w:rsidRPr="0058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81D6E" w:rsidRPr="0058308C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8C">
        <w:rPr>
          <w:rFonts w:ascii="Times New Roman" w:hAnsi="Times New Roman" w:cs="Times New Roman"/>
          <w:sz w:val="28"/>
          <w:szCs w:val="28"/>
        </w:rPr>
        <w:t xml:space="preserve">Доходы от арендной платы за земельные участки на </w:t>
      </w:r>
      <w:r w:rsidR="006B2C9D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прогнозируются со снижением к </w:t>
      </w:r>
      <w:r w:rsidR="006B2C9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B2C9D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>% и составят 5</w:t>
      </w:r>
      <w:r w:rsidR="006B2C9D">
        <w:rPr>
          <w:rFonts w:ascii="Times New Roman" w:hAnsi="Times New Roman" w:cs="Times New Roman"/>
          <w:sz w:val="28"/>
          <w:szCs w:val="28"/>
        </w:rPr>
        <w:t>506,0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81D6E" w:rsidRPr="008D25B8" w:rsidRDefault="00081D6E" w:rsidP="00081D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25B8">
        <w:rPr>
          <w:rFonts w:ascii="Times New Roman" w:hAnsi="Times New Roman" w:cs="Times New Roman"/>
          <w:sz w:val="28"/>
          <w:szCs w:val="28"/>
        </w:rPr>
        <w:t>При формировании доходов городского бюджета на 2025 год не в полном объеме учтена задолженность по арендной плате за земельные участки основного должник</w:t>
      </w:r>
      <w:proofErr w:type="gramStart"/>
      <w:r w:rsidRPr="008D25B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8D25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25B8">
        <w:rPr>
          <w:rFonts w:ascii="Times New Roman" w:hAnsi="Times New Roman" w:cs="Times New Roman"/>
          <w:sz w:val="28"/>
          <w:szCs w:val="28"/>
        </w:rPr>
        <w:t>Нортех</w:t>
      </w:r>
      <w:proofErr w:type="spellEnd"/>
      <w:r w:rsidRPr="008D25B8">
        <w:rPr>
          <w:rFonts w:ascii="Times New Roman" w:hAnsi="Times New Roman" w:cs="Times New Roman"/>
          <w:sz w:val="28"/>
          <w:szCs w:val="28"/>
        </w:rPr>
        <w:t xml:space="preserve">», которая по состоянию на 01.11.2024 составила </w:t>
      </w:r>
      <w:r w:rsidR="00453FBC">
        <w:rPr>
          <w:rFonts w:ascii="Times New Roman" w:hAnsi="Times New Roman" w:cs="Times New Roman"/>
          <w:sz w:val="28"/>
          <w:szCs w:val="28"/>
        </w:rPr>
        <w:t>4280,0</w:t>
      </w:r>
      <w:r w:rsidRPr="008D25B8">
        <w:rPr>
          <w:rFonts w:ascii="Times New Roman" w:hAnsi="Times New Roman" w:cs="Times New Roman"/>
          <w:sz w:val="28"/>
          <w:szCs w:val="28"/>
        </w:rPr>
        <w:t xml:space="preserve"> тыс. руб. В течение 2024 года в городской бюджет от ООО «</w:t>
      </w:r>
      <w:proofErr w:type="spellStart"/>
      <w:r w:rsidRPr="008D25B8">
        <w:rPr>
          <w:rFonts w:ascii="Times New Roman" w:hAnsi="Times New Roman" w:cs="Times New Roman"/>
          <w:sz w:val="28"/>
          <w:szCs w:val="28"/>
        </w:rPr>
        <w:t>Нортех</w:t>
      </w:r>
      <w:proofErr w:type="spellEnd"/>
      <w:r w:rsidRPr="008D25B8">
        <w:rPr>
          <w:rFonts w:ascii="Times New Roman" w:hAnsi="Times New Roman" w:cs="Times New Roman"/>
          <w:sz w:val="28"/>
          <w:szCs w:val="28"/>
        </w:rPr>
        <w:t>» поступило всего 3284,0 тыс. руб.</w:t>
      </w:r>
    </w:p>
    <w:p w:rsidR="00081D6E" w:rsidRPr="008D25B8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имеются резервы по увеличению данного вида неналоговых доходов в течение 202</w:t>
      </w:r>
      <w:r w:rsidR="006B2C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в результате </w:t>
      </w:r>
      <w:r w:rsidR="006B2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Pr="008D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и проведения </w:t>
      </w:r>
      <w:proofErr w:type="spellStart"/>
      <w:r w:rsidRPr="008D2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претензионно-исковой</w:t>
      </w:r>
      <w:proofErr w:type="spellEnd"/>
      <w:r w:rsidRPr="008D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081D6E" w:rsidRPr="00A31576" w:rsidRDefault="00081D6E" w:rsidP="00081D6E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3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сдачи в аренду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планируются 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2200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снижением к плану 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Pr="007C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доходов от сдачи имущества в аренду, находящегося в муниципальной собственности</w:t>
      </w:r>
      <w:r w:rsidR="00453F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передачей имущества 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</w:t>
      </w:r>
      <w:proofErr w:type="spellEnd"/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концессии вместо заключенного договора аренды.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F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0C1C">
        <w:rPr>
          <w:rFonts w:ascii="Times New Roman" w:hAnsi="Times New Roman" w:cs="Times New Roman"/>
          <w:sz w:val="28"/>
          <w:szCs w:val="28"/>
        </w:rPr>
        <w:t xml:space="preserve"> расчете прогноза учтено увеличение размера арендной платы на индекс потребительских цен.</w:t>
      </w:r>
      <w:r w:rsidRPr="003B0C1C">
        <w:rPr>
          <w:sz w:val="28"/>
          <w:szCs w:val="28"/>
        </w:rPr>
        <w:t xml:space="preserve"> </w:t>
      </w:r>
    </w:p>
    <w:p w:rsidR="00081D6E" w:rsidRDefault="00081D6E" w:rsidP="00081D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прогноза учтены дополнительные поступления в виде неисполненных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954,0 тыс. руб. (ИП Решетникова Е.П. 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 тыс. руб.,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Фобист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275,4 тыс. руб.,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675,0 тыс.</w:t>
      </w:r>
      <w:r w:rsidRPr="009B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81D6E" w:rsidRPr="007C3A73" w:rsidRDefault="00081D6E" w:rsidP="00081D6E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2026 год прогнозируется снижение доходов от аренды имущества относительно 2025 года на 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которые составят 1305,0 тыс. руб., в 2027 году прогнозируется увеличение на 4,1%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доходы</w:t>
      </w:r>
      <w:r w:rsidRPr="00E7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использования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спланированы в объеме 500,0 тыс. руб., что меньше планируемых поступлений 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250,0 тыс. руб., или на 33,3%. На 2026-2027 годы прогнозируется снижение поступлений прочих доходов от использования имущества в связи со снижением поступлений платы за на</w:t>
      </w:r>
      <w:r w:rsidR="000F4613">
        <w:rPr>
          <w:rFonts w:ascii="Times New Roman" w:eastAsia="Times New Roman" w:hAnsi="Times New Roman" w:cs="Times New Roman"/>
          <w:sz w:val="28"/>
          <w:szCs w:val="28"/>
          <w:lang w:eastAsia="ru-RU"/>
        </w:rPr>
        <w:t>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в результате приватизации квартир, находящихся в муниципальной собственности.</w:t>
      </w:r>
      <w:proofErr w:type="gramEnd"/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</w:t>
      </w:r>
      <w:r w:rsidRPr="00D33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перечисления части прибыли, остающейся после уплаты налогов и иных обязательных платежей муниципальных унитарных предприятий</w:t>
      </w:r>
      <w:r w:rsidRPr="000F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спрогнозированы на 202</w:t>
      </w:r>
      <w:r w:rsidRPr="00235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Pr="00235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880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меньше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планируемых поступлений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текущего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35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17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раза.</w:t>
      </w:r>
    </w:p>
    <w:p w:rsidR="00081D6E" w:rsidRPr="002E30F9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расчет доходов произведен исходя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41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муниципальных предприятий </w:t>
      </w:r>
      <w:r w:rsidRPr="00417626">
        <w:rPr>
          <w:rFonts w:ascii="Times New Roman" w:hAnsi="Times New Roman" w:cs="Times New Roman"/>
          <w:sz w:val="28"/>
          <w:szCs w:val="28"/>
        </w:rPr>
        <w:t>с учетом реорганизации муниципальных предприятий в текущем году путем преобразования в общества с ограниченной ответственностью</w:t>
      </w:r>
      <w:proofErr w:type="gramEnd"/>
      <w:r w:rsidRPr="00417626">
        <w:rPr>
          <w:rFonts w:ascii="Times New Roman" w:hAnsi="Times New Roman" w:cs="Times New Roman"/>
          <w:sz w:val="28"/>
          <w:szCs w:val="28"/>
        </w:rPr>
        <w:t>.</w:t>
      </w: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постановлений администрации города от 28.03.2024      № 461-463 в соответствии с требованиями законодательства Российской Федерации муниципальные предприятия преобразованы в общества с ограниченной ответственностью: </w:t>
      </w: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МП «Вятскополянский комбинат «Здоровье» в ООО «Вятскополянский комбинат «Здоровье» (23.07.2024);</w:t>
      </w: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МУП «Единый кассовый центр города Вятские Поляны» в ООО «Вятский квартал» (27.09.2024);</w:t>
      </w: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МП «Благоустройство города Вятские Поляны» в ООО «Наш город» (27.09.2024).  </w:t>
      </w: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с момента преобразования общества с ограниченной ответственностью не являются плательщиками</w:t>
      </w:r>
      <w:r w:rsidRPr="00B15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5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от перечисления части прибыли, остающейся после уплаты налогов и иных обязательных платежей муниципальных унитарных предприятий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(КБК 11107014 04 000 120).</w:t>
      </w: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Минфина РФ от 10.06.2024 № 85н «Об утверждении кодов (перечней кодов) бюджетной классификации Российской Федерации на 2025 год (на 2025 год и плановый период 2026 и 2027 годов)» для учета доходов от прибыли обществ с ограниченной ответственностью в бюджете муниципального образования следует предусмотреть КБК 11101040 04 000 120 – доходы в виде прибыли, приходящейся на доли в уставных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(складочных)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хозяйственных товариществ и обществ, или дивидендов по акциям, принадлежащим городским округам.</w:t>
      </w: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в текстовой части проекта решения необходимо исключить пункт 3 статьи 2 «Доходы городского бюджета», определяющий размер части прибыли муниципальных</w:t>
      </w:r>
      <w:r w:rsidR="00453FBC">
        <w:rPr>
          <w:rFonts w:ascii="Times New Roman" w:hAnsi="Times New Roman" w:cs="Times New Roman"/>
          <w:sz w:val="28"/>
          <w:szCs w:val="28"/>
        </w:rPr>
        <w:t xml:space="preserve"> унитарных </w:t>
      </w:r>
      <w:r>
        <w:rPr>
          <w:rFonts w:ascii="Times New Roman" w:hAnsi="Times New Roman" w:cs="Times New Roman"/>
          <w:sz w:val="28"/>
          <w:szCs w:val="28"/>
        </w:rPr>
        <w:t>предприятий, подлежащий уплате в городской бюджет муниципальными предприятиями.</w:t>
      </w:r>
    </w:p>
    <w:p w:rsidR="00081D6E" w:rsidRPr="00E73FE4" w:rsidRDefault="00081D6E" w:rsidP="00081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F3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платежей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негативное воздействие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спрогнозирован на 202</w:t>
      </w:r>
      <w:r w:rsidRPr="00F330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размере </w:t>
      </w:r>
      <w:r w:rsidRPr="00F3305C">
        <w:rPr>
          <w:rFonts w:ascii="Times New Roman" w:eastAsia="Times New Roman" w:hAnsi="Times New Roman" w:cs="Times New Roman"/>
          <w:sz w:val="28"/>
          <w:szCs w:val="28"/>
          <w:lang w:eastAsia="ru-RU"/>
        </w:rPr>
        <w:t>1688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планируемых поступлений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5,5%</w:t>
      </w:r>
      <w:r w:rsidRPr="00B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прогноза доходов от платы за негативное воздействие на окружающую среду составлен главным администратором доходов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Кировской области.</w:t>
      </w:r>
    </w:p>
    <w:p w:rsidR="00081D6E" w:rsidRPr="00115516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прогнозируемых поступлений платежей при пользовании природными ресурсами наибольш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1030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руб.),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выбросы загрязняющих веществ в атмосферный воздух стационарными объектами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  <w:r w:rsidRPr="0011551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руб.).</w:t>
      </w:r>
    </w:p>
    <w:p w:rsidR="00081D6E" w:rsidRPr="007C3A73" w:rsidRDefault="00081D6E" w:rsidP="00081D6E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2026-2027 годов </w:t>
      </w:r>
      <w:r w:rsidRPr="000E7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пользовании природными ресурсами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спрогнозированы на уровне 2025 года.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</w:t>
      </w:r>
      <w:r w:rsidRPr="00E94F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оходы от реализации имущества</w:t>
      </w:r>
      <w:r w:rsidRPr="00FD33BC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спрогнозированы в 2025 году в сумме 4</w:t>
      </w:r>
      <w:r w:rsidRPr="00885DC4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Причиной низких прогнозируемых доходов от продажи имущества в 2025 году является </w:t>
      </w:r>
      <w:r>
        <w:rPr>
          <w:rFonts w:ascii="Times New Roman" w:hAnsi="Times New Roman"/>
          <w:sz w:val="28"/>
          <w:szCs w:val="28"/>
        </w:rPr>
        <w:t>отсутствие ликвидного имущества в муниципальной собственности, подлежащего приватизации.</w:t>
      </w: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2026</w:t>
      </w:r>
      <w:r w:rsidR="005C5F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2027 годов поступления доходов от реализации имущества </w:t>
      </w:r>
      <w:proofErr w:type="gramStart"/>
      <w:r>
        <w:rPr>
          <w:rFonts w:ascii="Times New Roman" w:hAnsi="Times New Roman"/>
          <w:sz w:val="28"/>
          <w:szCs w:val="28"/>
        </w:rPr>
        <w:t>запланирована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уровне 2025 года.</w:t>
      </w:r>
    </w:p>
    <w:p w:rsidR="00081D6E" w:rsidRPr="00E0043E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81D6E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от</w:t>
      </w:r>
      <w:r w:rsidRPr="005B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земельных участков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спрогнозированы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207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 раза меньше плана</w:t>
      </w:r>
      <w:r w:rsidR="00207081"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года </w:t>
      </w:r>
      <w:r w:rsidR="00207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3500</w:t>
      </w:r>
      <w:r w:rsidRPr="00885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07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9E1">
        <w:rPr>
          <w:sz w:val="28"/>
          <w:szCs w:val="28"/>
        </w:rPr>
        <w:t xml:space="preserve">в </w:t>
      </w:r>
      <w:r w:rsidRPr="0013685C">
        <w:rPr>
          <w:rFonts w:ascii="Times New Roman" w:hAnsi="Times New Roman" w:cs="Times New Roman"/>
          <w:sz w:val="28"/>
          <w:szCs w:val="28"/>
        </w:rPr>
        <w:t>связи с отсутствием заявок на выкуп земельных участков из-за низкой платежеспособности населения и отсутствием сформированных земельных участков для продажи.</w:t>
      </w:r>
      <w:r w:rsidRPr="00DB6898">
        <w:rPr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плановый период 2026-2027 годов доходы от реализации земельных участков составят 1000,0 тыс. руб. ежегодно.</w:t>
      </w:r>
    </w:p>
    <w:p w:rsidR="00081D6E" w:rsidRPr="00885DC4" w:rsidRDefault="00081D6E" w:rsidP="00081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1D6E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5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ируемая сумма поступлений в бюджет </w:t>
      </w:r>
      <w:r w:rsidRPr="0062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доходов от оказания платных услуг </w:t>
      </w:r>
      <w:r w:rsidRPr="000B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администратор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города</w:t>
      </w:r>
      <w:r w:rsidRPr="000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и плановый период 2026-2027 годов </w:t>
      </w:r>
      <w:r w:rsidRPr="00044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поступлений запланирована в размере 38384,0</w:t>
      </w:r>
      <w:r w:rsidRPr="0004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ежегодно, что больше поступлений текущего года на 519,0 тыс. руб., или на 1,4%.</w:t>
      </w:r>
    </w:p>
    <w:p w:rsidR="00081D6E" w:rsidRPr="00EA478F" w:rsidRDefault="00081D6E" w:rsidP="000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расчете прогноза на 2025 год учтены следующие факторы: </w:t>
      </w:r>
      <w:r w:rsidRPr="00EA478F">
        <w:rPr>
          <w:rFonts w:ascii="Times New Roman" w:hAnsi="Times New Roman" w:cs="Times New Roman"/>
          <w:sz w:val="28"/>
          <w:szCs w:val="28"/>
        </w:rPr>
        <w:t>количество получателей услуг, определяемое по среднегодовому посещению не менее чем за три предшествующих года по дошкольным учреждениям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78F">
        <w:rPr>
          <w:rFonts w:ascii="Times New Roman" w:hAnsi="Times New Roman" w:cs="Times New Roman"/>
          <w:sz w:val="28"/>
          <w:szCs w:val="28"/>
        </w:rPr>
        <w:t xml:space="preserve"> стоимость платных услуг, утвержденных постановлениями администрации города</w:t>
      </w:r>
      <w:r w:rsidR="00CD284B">
        <w:rPr>
          <w:rFonts w:ascii="Times New Roman" w:hAnsi="Times New Roman" w:cs="Times New Roman"/>
          <w:sz w:val="28"/>
          <w:szCs w:val="28"/>
        </w:rPr>
        <w:t>,</w:t>
      </w:r>
      <w:r w:rsidRPr="00EA478F">
        <w:rPr>
          <w:rFonts w:ascii="Times New Roman" w:hAnsi="Times New Roman" w:cs="Times New Roman"/>
          <w:sz w:val="28"/>
          <w:szCs w:val="28"/>
        </w:rPr>
        <w:t xml:space="preserve"> доходы от родительской платы, взимаемой с родителей за питание в муниципальных общеобразовательных учреждениях.</w:t>
      </w:r>
    </w:p>
    <w:p w:rsidR="00081D6E" w:rsidRDefault="00081D6E" w:rsidP="00081D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6E" w:rsidRDefault="00081D6E" w:rsidP="00081D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снижением к плановым показателям 2024 года на 24,3%, или на 225,0 тыс. руб., прогнозируются </w:t>
      </w:r>
      <w:r w:rsidRPr="0062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62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штрафов, санкций, возмещения ущерба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  <w:r w:rsidRPr="005D6C3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плановый период 2026-2027 год</w:t>
      </w:r>
      <w:r w:rsidR="00CD2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штрафов, санкций, возмещения ущерба запланированы на уровне 2025 года.</w:t>
      </w:r>
    </w:p>
    <w:p w:rsidR="00081D6E" w:rsidRDefault="00081D6E" w:rsidP="00081D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доходов на 2025 год меньше доходов 2024 года, </w:t>
      </w:r>
      <w:r w:rsidRPr="0065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65496B">
        <w:rPr>
          <w:rFonts w:ascii="Times New Roman" w:hAnsi="Times New Roman" w:cs="Times New Roman"/>
          <w:sz w:val="28"/>
          <w:szCs w:val="28"/>
        </w:rPr>
        <w:t>поступили штрафные санкции за просрочки исполнения подрядчик</w:t>
      </w:r>
      <w:r w:rsidR="00207081">
        <w:rPr>
          <w:rFonts w:ascii="Times New Roman" w:hAnsi="Times New Roman" w:cs="Times New Roman"/>
          <w:sz w:val="28"/>
          <w:szCs w:val="28"/>
        </w:rPr>
        <w:t>ами</w:t>
      </w:r>
      <w:r w:rsidRPr="0065496B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</w:t>
      </w:r>
      <w:r w:rsidR="00207081">
        <w:rPr>
          <w:rFonts w:ascii="Times New Roman" w:hAnsi="Times New Roman" w:cs="Times New Roman"/>
          <w:sz w:val="28"/>
          <w:szCs w:val="28"/>
        </w:rPr>
        <w:t xml:space="preserve">3 </w:t>
      </w:r>
      <w:r w:rsidRPr="0065496B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496B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9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(по главному администратору доходов </w:t>
      </w:r>
      <w:r w:rsidR="002070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CD28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4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штрафы по данному коду бюджетной классификации не планируются. </w:t>
      </w:r>
    </w:p>
    <w:p w:rsidR="00081D6E" w:rsidRPr="00BC3577" w:rsidRDefault="00081D6E" w:rsidP="00081D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6E" w:rsidRPr="001B7EC9" w:rsidRDefault="00081D6E" w:rsidP="0008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неналоговые доходы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r w:rsidRPr="008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в сумме 4500,0 тыс. руб. с ростом к плану текущего года на 200,0 тыс. руб.</w:t>
      </w:r>
      <w:r w:rsidRPr="008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в составе прочих неналоговых доходов учтены инициативные платежи в сумме 6513,1 тыс. руб. (средства населения и спонсоров для реализации ППМИ), которые не предусмотрены на плановый период 2026-2027 годов. </w:t>
      </w:r>
      <w:proofErr w:type="gramEnd"/>
    </w:p>
    <w:p w:rsidR="00AD0880" w:rsidRDefault="00AD0880" w:rsidP="00AD0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51E" w:rsidRDefault="007E051E" w:rsidP="007E05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4.3. </w:t>
      </w:r>
      <w:r w:rsidRPr="001B7EC9">
        <w:rPr>
          <w:rFonts w:ascii="Times New Roman" w:eastAsia="Calibri" w:hAnsi="Times New Roman" w:cs="Times New Roman"/>
          <w:b/>
          <w:bCs/>
          <w:sz w:val="28"/>
          <w:szCs w:val="28"/>
        </w:rPr>
        <w:t>Безвозмездные поступления в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Pr="001B7EC9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1B7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годах</w:t>
      </w:r>
    </w:p>
    <w:p w:rsidR="007E051E" w:rsidRPr="00832A49" w:rsidRDefault="007E051E" w:rsidP="007E05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1B7EC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 спрогнозированы в объеме </w:t>
      </w:r>
      <w:r>
        <w:rPr>
          <w:rFonts w:ascii="Times New Roman" w:hAnsi="Times New Roman" w:cs="Times New Roman"/>
          <w:sz w:val="28"/>
          <w:szCs w:val="28"/>
        </w:rPr>
        <w:t>843748,9 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что </w:t>
      </w:r>
      <w:r w:rsidR="0020708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плана </w:t>
      </w:r>
      <w:r w:rsidRPr="001B7EC9">
        <w:rPr>
          <w:rFonts w:ascii="Times New Roman" w:hAnsi="Times New Roman" w:cs="Times New Roman"/>
          <w:sz w:val="28"/>
          <w:szCs w:val="28"/>
        </w:rPr>
        <w:t xml:space="preserve">текущего года на </w:t>
      </w:r>
      <w:r>
        <w:rPr>
          <w:rFonts w:ascii="Times New Roman" w:hAnsi="Times New Roman" w:cs="Times New Roman"/>
          <w:sz w:val="28"/>
          <w:szCs w:val="28"/>
        </w:rPr>
        <w:t>205245,6 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32,1</w:t>
      </w:r>
      <w:r w:rsidRPr="001B7EC9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В 2025 году дотации сп</w:t>
      </w:r>
      <w:r w:rsidR="00837814">
        <w:rPr>
          <w:rFonts w:ascii="Times New Roman" w:hAnsi="Times New Roman" w:cs="Times New Roman"/>
          <w:sz w:val="28"/>
          <w:szCs w:val="28"/>
        </w:rPr>
        <w:t>рогнозированы</w:t>
      </w:r>
      <w:r>
        <w:rPr>
          <w:rFonts w:ascii="Times New Roman" w:hAnsi="Times New Roman" w:cs="Times New Roman"/>
          <w:sz w:val="28"/>
          <w:szCs w:val="28"/>
        </w:rPr>
        <w:t xml:space="preserve"> в объеме 104295,0 тыс. руб., субсидии – 434725,9 тыс. руб., субвенции – 282147,6 тыс. руб., иные межбюджетные трансферты – 21995,4 тыс. руб.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отмечалось ранее, объемы безвозмездных поступлений в городской бюджет и соответствующих расходов могут измениться после принятия федерального и областного бюджетов на 2025-2027 годы и распределения средств между регионами и, соответственно, между муниципальными образованиями Кировской области. </w:t>
      </w:r>
    </w:p>
    <w:p w:rsidR="00837814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C9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B7E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B7EC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7EC9">
        <w:rPr>
          <w:rFonts w:ascii="Times New Roman" w:hAnsi="Times New Roman" w:cs="Times New Roman"/>
          <w:sz w:val="28"/>
          <w:szCs w:val="28"/>
        </w:rPr>
        <w:t xml:space="preserve"> представлена в таблице</w:t>
      </w:r>
      <w:r w:rsidR="00837814">
        <w:rPr>
          <w:rFonts w:ascii="Times New Roman" w:hAnsi="Times New Roman" w:cs="Times New Roman"/>
          <w:sz w:val="28"/>
          <w:szCs w:val="28"/>
        </w:rPr>
        <w:t>:</w:t>
      </w:r>
    </w:p>
    <w:p w:rsidR="007E051E" w:rsidRPr="00837814" w:rsidRDefault="00837814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051E" w:rsidRPr="0083781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tbl>
      <w:tblPr>
        <w:tblW w:w="9498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9"/>
        <w:gridCol w:w="992"/>
        <w:gridCol w:w="850"/>
        <w:gridCol w:w="993"/>
        <w:gridCol w:w="850"/>
        <w:gridCol w:w="992"/>
        <w:gridCol w:w="851"/>
        <w:gridCol w:w="992"/>
        <w:gridCol w:w="779"/>
      </w:tblGrid>
      <w:tr w:rsidR="007E051E" w:rsidRPr="001B7EC9" w:rsidTr="00CD284B">
        <w:trPr>
          <w:cantSplit/>
          <w:trHeight w:val="285"/>
          <w:jc w:val="center"/>
        </w:trPr>
        <w:tc>
          <w:tcPr>
            <w:tcW w:w="2199" w:type="dxa"/>
            <w:vMerge w:val="restart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842" w:type="dxa"/>
            <w:gridSpan w:val="2"/>
            <w:vAlign w:val="center"/>
          </w:tcPr>
          <w:p w:rsidR="007E051E" w:rsidRPr="001B7EC9" w:rsidRDefault="007E051E" w:rsidP="00812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1B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решение В-П городской Думы от 29.10.2024              № 34/320</w:t>
            </w:r>
            <w:r w:rsidRPr="001B7E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843" w:type="dxa"/>
            <w:gridSpan w:val="2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771" w:type="dxa"/>
            <w:gridSpan w:val="2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</w:tr>
      <w:tr w:rsidR="007E051E" w:rsidRPr="001B7EC9" w:rsidTr="00CD284B">
        <w:trPr>
          <w:cantSplit/>
          <w:trHeight w:val="229"/>
          <w:jc w:val="center"/>
        </w:trPr>
        <w:tc>
          <w:tcPr>
            <w:tcW w:w="2199" w:type="dxa"/>
            <w:vMerge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ес, %</w:t>
            </w:r>
          </w:p>
        </w:tc>
        <w:tc>
          <w:tcPr>
            <w:tcW w:w="993" w:type="dxa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vAlign w:val="center"/>
          </w:tcPr>
          <w:p w:rsidR="007E051E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вес, %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vAlign w:val="center"/>
          </w:tcPr>
          <w:p w:rsidR="007E051E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вес, %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79" w:type="dxa"/>
            <w:vAlign w:val="center"/>
          </w:tcPr>
          <w:p w:rsidR="007E051E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вес, %</w:t>
            </w:r>
          </w:p>
        </w:tc>
      </w:tr>
      <w:tr w:rsidR="007E051E" w:rsidRPr="001B7EC9" w:rsidTr="00CD284B">
        <w:trPr>
          <w:trHeight w:val="341"/>
          <w:jc w:val="center"/>
        </w:trPr>
        <w:tc>
          <w:tcPr>
            <w:tcW w:w="2199" w:type="dxa"/>
            <w:vAlign w:val="center"/>
          </w:tcPr>
          <w:p w:rsidR="007E051E" w:rsidRPr="00393BE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E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всего, в 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 числе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638503,2</w:t>
            </w:r>
          </w:p>
        </w:tc>
        <w:tc>
          <w:tcPr>
            <w:tcW w:w="850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843748,9</w:t>
            </w:r>
          </w:p>
        </w:tc>
        <w:tc>
          <w:tcPr>
            <w:tcW w:w="850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473560,3</w:t>
            </w:r>
          </w:p>
        </w:tc>
        <w:tc>
          <w:tcPr>
            <w:tcW w:w="851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D28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435353,4</w:t>
            </w:r>
          </w:p>
        </w:tc>
        <w:tc>
          <w:tcPr>
            <w:tcW w:w="779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D28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E051E" w:rsidRPr="001B7EC9" w:rsidTr="00CD284B">
        <w:trPr>
          <w:trHeight w:val="331"/>
          <w:jc w:val="center"/>
        </w:trPr>
        <w:tc>
          <w:tcPr>
            <w:tcW w:w="2199" w:type="dxa"/>
            <w:vAlign w:val="center"/>
          </w:tcPr>
          <w:p w:rsidR="007E051E" w:rsidRPr="001B7EC9" w:rsidRDefault="007E051E" w:rsidP="00CD28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отации на </w:t>
            </w:r>
            <w:proofErr w:type="spellStart"/>
            <w:proofErr w:type="gramStart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выравни</w:t>
            </w:r>
            <w:r w:rsidR="00CD2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1B7EC9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обеспеченности</w:t>
            </w:r>
          </w:p>
        </w:tc>
        <w:tc>
          <w:tcPr>
            <w:tcW w:w="992" w:type="dxa"/>
            <w:vAlign w:val="center"/>
          </w:tcPr>
          <w:p w:rsidR="007E051E" w:rsidRPr="002A37F8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90599,0</w:t>
            </w:r>
          </w:p>
        </w:tc>
        <w:tc>
          <w:tcPr>
            <w:tcW w:w="850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3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104295,0</w:t>
            </w:r>
          </w:p>
        </w:tc>
        <w:tc>
          <w:tcPr>
            <w:tcW w:w="850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76112,0</w:t>
            </w:r>
          </w:p>
        </w:tc>
        <w:tc>
          <w:tcPr>
            <w:tcW w:w="851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80293,0</w:t>
            </w:r>
          </w:p>
        </w:tc>
        <w:tc>
          <w:tcPr>
            <w:tcW w:w="779" w:type="dxa"/>
            <w:vAlign w:val="center"/>
          </w:tcPr>
          <w:p w:rsidR="007E051E" w:rsidRPr="001B7EC9" w:rsidRDefault="007E051E" w:rsidP="0083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8378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051E" w:rsidRPr="001B7EC9" w:rsidTr="00CD284B">
        <w:trPr>
          <w:trHeight w:val="191"/>
          <w:jc w:val="center"/>
        </w:trPr>
        <w:tc>
          <w:tcPr>
            <w:tcW w:w="2199" w:type="dxa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261878,9</w:t>
            </w:r>
          </w:p>
        </w:tc>
        <w:tc>
          <w:tcPr>
            <w:tcW w:w="850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3" w:type="dxa"/>
            <w:vAlign w:val="center"/>
          </w:tcPr>
          <w:p w:rsidR="007E051E" w:rsidRPr="001B7EC9" w:rsidRDefault="007E051E" w:rsidP="0083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434725,</w:t>
            </w:r>
            <w:r w:rsidR="008378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96727,6</w:t>
            </w:r>
          </w:p>
        </w:tc>
        <w:tc>
          <w:tcPr>
            <w:tcW w:w="851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60967,0</w:t>
            </w:r>
          </w:p>
        </w:tc>
        <w:tc>
          <w:tcPr>
            <w:tcW w:w="779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7E051E" w:rsidRPr="001B7EC9" w:rsidTr="00CD284B">
        <w:trPr>
          <w:trHeight w:val="113"/>
          <w:jc w:val="center"/>
        </w:trPr>
        <w:tc>
          <w:tcPr>
            <w:tcW w:w="2199" w:type="dxa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259495,1</w:t>
            </w:r>
          </w:p>
        </w:tc>
        <w:tc>
          <w:tcPr>
            <w:tcW w:w="850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3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282147,6</w:t>
            </w:r>
          </w:p>
        </w:tc>
        <w:tc>
          <w:tcPr>
            <w:tcW w:w="850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278906,8</w:t>
            </w:r>
          </w:p>
        </w:tc>
        <w:tc>
          <w:tcPr>
            <w:tcW w:w="851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2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272276,5</w:t>
            </w:r>
          </w:p>
        </w:tc>
        <w:tc>
          <w:tcPr>
            <w:tcW w:w="779" w:type="dxa"/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7E051E" w:rsidRPr="001B7EC9" w:rsidTr="00CD284B">
        <w:trPr>
          <w:trHeight w:val="5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8378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21231,9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7E051E" w:rsidRPr="001B7EC9" w:rsidTr="00CD284B">
        <w:trPr>
          <w:trHeight w:val="5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EC9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37814" w:rsidRPr="001B7EC9" w:rsidTr="00CD284B">
        <w:trPr>
          <w:trHeight w:val="5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Pr="001B7EC9" w:rsidRDefault="00837814" w:rsidP="00CD28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посту</w:t>
            </w:r>
            <w:r w:rsidR="00CD2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негосудар</w:t>
            </w:r>
            <w:r w:rsidR="00CD2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Default="00837814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Default="00837814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Default="00837814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Default="00837814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Default="00837814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Default="00837814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Default="00837814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4" w:rsidRDefault="00837814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51E" w:rsidRPr="001B7EC9" w:rsidTr="00CD284B">
        <w:trPr>
          <w:trHeight w:val="5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Default="007E051E" w:rsidP="00CD28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-11224,4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837814" w:rsidP="00CD2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1E" w:rsidRPr="001B7EC9" w:rsidRDefault="007E051E" w:rsidP="0081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51E" w:rsidRDefault="007E051E" w:rsidP="007E0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безвозмездных поступлений в 2025 году по сравнению с уточненным планом 2024 года в большей степени обусловлено увеличением прогноза поступлений субсидий в 1,7 раз (с 261878,9 тыс. руб. до 434725,0 тыс. руб.). 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безвозмездных поступлений в 2025 году к уточненному плану 2024 года прогнозируется по субвенциям на 22652,5 тыс. руб. (на 8,7%), дотации на выравнивание бюджетной обеспеченности на 13696,0 тыс. руб. (на 15,1%).</w:t>
      </w:r>
    </w:p>
    <w:p w:rsidR="007E051E" w:rsidRPr="001B7EC9" w:rsidRDefault="00837814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E051E">
        <w:rPr>
          <w:rFonts w:ascii="Times New Roman" w:hAnsi="Times New Roman" w:cs="Times New Roman"/>
          <w:sz w:val="28"/>
          <w:szCs w:val="28"/>
        </w:rPr>
        <w:t xml:space="preserve"> 2026 год безвозмездные поступления планируются со снижением к прогнозу 2025 года и составят 473560,3 тыс. руб.,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E051E">
        <w:rPr>
          <w:rFonts w:ascii="Times New Roman" w:hAnsi="Times New Roman" w:cs="Times New Roman"/>
          <w:sz w:val="28"/>
          <w:szCs w:val="28"/>
        </w:rPr>
        <w:t xml:space="preserve"> 2027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CF">
        <w:rPr>
          <w:rFonts w:ascii="Times New Roman" w:hAnsi="Times New Roman" w:cs="Times New Roman"/>
          <w:sz w:val="28"/>
          <w:szCs w:val="28"/>
        </w:rPr>
        <w:t xml:space="preserve">- </w:t>
      </w:r>
      <w:r w:rsidR="007E051E">
        <w:rPr>
          <w:rFonts w:ascii="Times New Roman" w:hAnsi="Times New Roman" w:cs="Times New Roman"/>
          <w:sz w:val="28"/>
          <w:szCs w:val="28"/>
        </w:rPr>
        <w:t>составят 435353,4 тыс. руб.</w:t>
      </w:r>
    </w:p>
    <w:p w:rsidR="007E051E" w:rsidRPr="001B7EC9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по отношению к 2024 году планируется увеличение субсиди</w:t>
      </w:r>
      <w:r w:rsidR="009F67C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55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дорожной деятельности </w:t>
      </w:r>
      <w:r w:rsidR="006B5BDE">
        <w:rPr>
          <w:rFonts w:ascii="Times New Roman" w:hAnsi="Times New Roman" w:cs="Times New Roman"/>
          <w:sz w:val="28"/>
          <w:szCs w:val="28"/>
        </w:rPr>
        <w:t xml:space="preserve">(содержание дорог, капитальный ремонт и ремонт дорог) </w:t>
      </w:r>
      <w:r>
        <w:rPr>
          <w:rFonts w:ascii="Times New Roman" w:hAnsi="Times New Roman" w:cs="Times New Roman"/>
          <w:sz w:val="28"/>
          <w:szCs w:val="28"/>
        </w:rPr>
        <w:t>на 1</w:t>
      </w:r>
      <w:r w:rsidR="006B5BDE">
        <w:rPr>
          <w:rFonts w:ascii="Times New Roman" w:hAnsi="Times New Roman" w:cs="Times New Roman"/>
          <w:sz w:val="28"/>
          <w:szCs w:val="28"/>
        </w:rPr>
        <w:t>53875,0</w:t>
      </w:r>
      <w:r>
        <w:rPr>
          <w:rFonts w:ascii="Times New Roman" w:hAnsi="Times New Roman" w:cs="Times New Roman"/>
          <w:sz w:val="28"/>
          <w:szCs w:val="28"/>
        </w:rPr>
        <w:t xml:space="preserve"> тыс. руб., или в </w:t>
      </w:r>
      <w:r w:rsidR="006B5B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программ формирования современной городской среды на 719,3 тыс. руб.;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мероприятий по обеспечению жильем молодых семей на 4965,9 тыс. руб., или в 4,5 раза;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повышение уровня подготовки лиц, замещающих муниципальные должности на 84,0 тыс. руб., или в 2 раза</w:t>
      </w:r>
      <w:r w:rsidR="009F67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по отношению к 202</w:t>
      </w:r>
      <w:r w:rsidR="006B5B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прогнозируется снижение </w:t>
      </w:r>
      <w:r w:rsidRPr="005214D3">
        <w:rPr>
          <w:rFonts w:ascii="Times New Roman" w:hAnsi="Times New Roman" w:cs="Times New Roman"/>
          <w:i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поддержку отрасли культуры на 7111,1 тыс. руб.;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F21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1226,0 тыс. руб.;</w:t>
      </w:r>
      <w:proofErr w:type="gramEnd"/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выполнение расходных обязательств на 25642,0 тыс. руб.;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мероприятий, направленных на подготовку систем коммунальной инфраструктуры к работе в осенне-зимний период</w:t>
      </w:r>
      <w:r w:rsidR="009F67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11574,3 тыс. руб.;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организацию деятельности народных дружин на 23,3 тыс. руб.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поступление субсидий: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проведение комплексных кадастровых работ в сумме 315,2 тыс. руб.;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мероприятий по модернизации школьных систем образования в рамках ГП РФ «Развитие образования» в сумме 40515,7 тыс. руб.;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</w:t>
      </w:r>
      <w:r w:rsidR="009F67CF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103925,0 тыс. руб.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1E" w:rsidRDefault="006B5BD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2025 году н</w:t>
      </w:r>
      <w:r w:rsidR="007E051E">
        <w:rPr>
          <w:rFonts w:ascii="Times New Roman" w:hAnsi="Times New Roman" w:cs="Times New Roman"/>
          <w:sz w:val="28"/>
          <w:szCs w:val="28"/>
        </w:rPr>
        <w:t>е планируется предоставление субсидии на строительство и реконструкцию объектов питьевого водоснабжения (в 2024 году – 47748,2 тыс. руб.), на реализацию мер, направленных на выполнение предписаний надзорных органов (в 2024 году – 6848,5 тыс. руб.), на софинансирование инвестиционных программ и проектов развития общественной инфраструктуры (в 2024 году – 30787,0 тыс. руб.), на реализацию мероприятий по устройству и (или) модернизации уличного освещения</w:t>
      </w:r>
      <w:proofErr w:type="gramEnd"/>
      <w:r w:rsidR="007E051E">
        <w:rPr>
          <w:rFonts w:ascii="Times New Roman" w:hAnsi="Times New Roman" w:cs="Times New Roman"/>
          <w:sz w:val="28"/>
          <w:szCs w:val="28"/>
        </w:rPr>
        <w:t xml:space="preserve"> населенных пунктов (в 2024 году – 599,2 тыс. руб.).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63">
        <w:rPr>
          <w:rFonts w:ascii="Times New Roman" w:hAnsi="Times New Roman" w:cs="Times New Roman"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в 2025 году по отношению к уточненному плану 2024 года увеличены на 22652,5 тыс. руб., в том числе по следующим направлениям: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выполнение передаваемых полномочий субъект</w:t>
      </w:r>
      <w:r w:rsidR="006B5B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РФ на 231,2 тыс. руб.;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обеспечение бесплатным двухразовым питанием детей-инвалидов (инвалидов), не относящихся к категории обучающихся с ограниченными возможностями здоровья </w:t>
      </w:r>
      <w:r w:rsidR="006B5B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574,4 тыс. руб.,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назначению и выплате ежемесячных денежных выплат на детей-сирот </w:t>
      </w:r>
      <w:r w:rsidR="006B5B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799,0 тыс. руб.,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предоставление жилых помещений детям-сиротам </w:t>
      </w:r>
      <w:r w:rsidR="006B5B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4290,4 тыс. руб.;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общего, среднего общего образования детей в муниципальных общеобразовательных организациях на 17194,0 тыс. руб.</w:t>
      </w:r>
      <w:r w:rsidR="00C032F5">
        <w:rPr>
          <w:rFonts w:ascii="Times New Roman" w:hAnsi="Times New Roman" w:cs="Times New Roman"/>
          <w:sz w:val="28"/>
          <w:szCs w:val="28"/>
        </w:rPr>
        <w:t>;</w:t>
      </w:r>
    </w:p>
    <w:p w:rsidR="007E051E" w:rsidRPr="00C43B9A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9A">
        <w:rPr>
          <w:rFonts w:ascii="Times New Roman" w:hAnsi="Times New Roman" w:cs="Times New Roman"/>
          <w:sz w:val="28"/>
          <w:szCs w:val="28"/>
        </w:rPr>
        <w:t xml:space="preserve">- на реализацию </w:t>
      </w:r>
      <w:proofErr w:type="gramStart"/>
      <w:r w:rsidRPr="00C43B9A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C43B9A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дошкольного образования в муниципальных дошкольных образовательных организациях на</w:t>
      </w:r>
      <w:r>
        <w:rPr>
          <w:rFonts w:ascii="Times New Roman" w:hAnsi="Times New Roman" w:cs="Times New Roman"/>
          <w:sz w:val="28"/>
          <w:szCs w:val="28"/>
        </w:rPr>
        <w:t xml:space="preserve"> 217,</w:t>
      </w:r>
      <w:r w:rsidR="006B5BDE">
        <w:rPr>
          <w:rFonts w:ascii="Times New Roman" w:hAnsi="Times New Roman" w:cs="Times New Roman"/>
          <w:sz w:val="28"/>
          <w:szCs w:val="28"/>
        </w:rPr>
        <w:t>7</w:t>
      </w:r>
      <w:r w:rsidRPr="00C43B9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 объем субвенци</w:t>
      </w:r>
      <w:r w:rsidR="006B5BDE">
        <w:rPr>
          <w:rFonts w:ascii="Times New Roman" w:hAnsi="Times New Roman" w:cs="Times New Roman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B5B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опеке и попечительству на 262,0 тыс. руб.</w:t>
      </w:r>
      <w:r w:rsidR="006B5B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начислению и выплате компенсации платы, взимаемой с родителей на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9F67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80,0 тыс. руб.</w:t>
      </w: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1E" w:rsidRDefault="007E051E" w:rsidP="007E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планируется поступление </w:t>
      </w:r>
      <w:r w:rsidRPr="0012310C">
        <w:rPr>
          <w:rFonts w:ascii="Times New Roman" w:hAnsi="Times New Roman" w:cs="Times New Roman"/>
          <w:i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в сумме 21995,4 тыс. руб. со снижением к предыдущему году на 14826,2 тыс. руб. (в 2024 году</w:t>
      </w:r>
      <w:r w:rsidR="006B5BDE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 xml:space="preserve">выделены средства на государственную поддержку </w:t>
      </w:r>
      <w:r w:rsidR="009F67CF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обеспечивающих высокое качество образования</w:t>
      </w:r>
      <w:r w:rsidR="00832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сумме 15167,9 тыс. руб.).</w:t>
      </w:r>
    </w:p>
    <w:p w:rsidR="00F9365C" w:rsidRDefault="00F9365C" w:rsidP="00F936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55B9" w:rsidRPr="00AA0DBE" w:rsidRDefault="005455B9" w:rsidP="0054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DBE">
        <w:rPr>
          <w:rFonts w:ascii="Times New Roman" w:eastAsia="Calibri" w:hAnsi="Times New Roman" w:cs="Times New Roman"/>
          <w:b/>
          <w:sz w:val="28"/>
          <w:szCs w:val="28"/>
        </w:rPr>
        <w:t>5. Расходы городского бюджета на 202</w:t>
      </w:r>
      <w:r w:rsidR="00E14B3E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A0DB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E14B3E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0DBE">
        <w:rPr>
          <w:rFonts w:ascii="Times New Roman" w:eastAsia="Calibri" w:hAnsi="Times New Roman" w:cs="Times New Roman"/>
          <w:b/>
          <w:sz w:val="28"/>
          <w:szCs w:val="28"/>
        </w:rPr>
        <w:t>годы</w:t>
      </w:r>
    </w:p>
    <w:p w:rsidR="005455B9" w:rsidRPr="00832A49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5B9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A0DBE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B3C3B" w:rsidRPr="00E14B3E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0B3C3B" w:rsidRPr="00AA0DBE">
        <w:rPr>
          <w:rFonts w:ascii="Times New Roman" w:hAnsi="Times New Roman" w:cs="Times New Roman"/>
          <w:b/>
          <w:sz w:val="28"/>
          <w:szCs w:val="28"/>
        </w:rPr>
        <w:t>асходы городского бюджета</w:t>
      </w:r>
      <w:r w:rsidR="000B3C3B" w:rsidRPr="00AA0DBE">
        <w:rPr>
          <w:rFonts w:ascii="Times New Roman" w:hAnsi="Times New Roman" w:cs="Times New Roman"/>
          <w:sz w:val="28"/>
          <w:szCs w:val="28"/>
        </w:rPr>
        <w:t xml:space="preserve"> на 202</w:t>
      </w:r>
      <w:r w:rsidR="00E14B3E">
        <w:rPr>
          <w:rFonts w:ascii="Times New Roman" w:hAnsi="Times New Roman" w:cs="Times New Roman"/>
          <w:sz w:val="28"/>
          <w:szCs w:val="28"/>
        </w:rPr>
        <w:t>5</w:t>
      </w:r>
      <w:r w:rsidR="000B3C3B" w:rsidRPr="00AA0DB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A0DBE">
        <w:rPr>
          <w:rFonts w:ascii="Times New Roman" w:hAnsi="Times New Roman" w:cs="Times New Roman"/>
          <w:sz w:val="28"/>
          <w:szCs w:val="28"/>
        </w:rPr>
        <w:t xml:space="preserve">запланированы в сумме </w:t>
      </w:r>
      <w:r w:rsidR="00E14B3E">
        <w:rPr>
          <w:rFonts w:ascii="Times New Roman" w:hAnsi="Times New Roman" w:cs="Times New Roman"/>
          <w:sz w:val="28"/>
          <w:szCs w:val="28"/>
        </w:rPr>
        <w:t>1246544,</w:t>
      </w:r>
      <w:r w:rsidR="006B5BDE">
        <w:rPr>
          <w:rFonts w:ascii="Times New Roman" w:hAnsi="Times New Roman" w:cs="Times New Roman"/>
          <w:sz w:val="28"/>
          <w:szCs w:val="28"/>
        </w:rPr>
        <w:t>0</w:t>
      </w:r>
      <w:r w:rsidRPr="00AA0DB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14B3E">
        <w:rPr>
          <w:rFonts w:ascii="Times New Roman" w:hAnsi="Times New Roman" w:cs="Times New Roman"/>
          <w:sz w:val="28"/>
          <w:szCs w:val="28"/>
        </w:rPr>
        <w:t xml:space="preserve"> с</w:t>
      </w:r>
      <w:r w:rsidR="00E14B3E" w:rsidRPr="00AA0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B3E">
        <w:rPr>
          <w:rFonts w:ascii="Times New Roman" w:eastAsia="Calibri" w:hAnsi="Times New Roman" w:cs="Times New Roman"/>
          <w:sz w:val="28"/>
          <w:szCs w:val="28"/>
        </w:rPr>
        <w:t>ростом</w:t>
      </w:r>
      <w:r w:rsidR="00E14B3E" w:rsidRPr="00AA0DBE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E14B3E">
        <w:rPr>
          <w:rFonts w:ascii="Times New Roman" w:eastAsia="Calibri" w:hAnsi="Times New Roman" w:cs="Times New Roman"/>
          <w:sz w:val="28"/>
          <w:szCs w:val="28"/>
        </w:rPr>
        <w:t>первоначальному плану по расходам на 2024 год на 347480,</w:t>
      </w:r>
      <w:r w:rsidR="006B5BDE">
        <w:rPr>
          <w:rFonts w:ascii="Times New Roman" w:eastAsia="Calibri" w:hAnsi="Times New Roman" w:cs="Times New Roman"/>
          <w:sz w:val="28"/>
          <w:szCs w:val="28"/>
        </w:rPr>
        <w:t>3</w:t>
      </w:r>
      <w:r w:rsidR="00E14B3E">
        <w:rPr>
          <w:rFonts w:ascii="Times New Roman" w:eastAsia="Calibri" w:hAnsi="Times New Roman" w:cs="Times New Roman"/>
          <w:sz w:val="28"/>
          <w:szCs w:val="28"/>
        </w:rPr>
        <w:t xml:space="preserve"> тыс. руб., к уточненному плану – на 178342,</w:t>
      </w:r>
      <w:r w:rsidR="006B5BDE">
        <w:rPr>
          <w:rFonts w:ascii="Times New Roman" w:eastAsia="Calibri" w:hAnsi="Times New Roman" w:cs="Times New Roman"/>
          <w:sz w:val="28"/>
          <w:szCs w:val="28"/>
        </w:rPr>
        <w:t>6</w:t>
      </w:r>
      <w:r w:rsidR="00E14B3E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477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BDE">
        <w:rPr>
          <w:rFonts w:ascii="Times New Roman" w:eastAsia="Calibri" w:hAnsi="Times New Roman" w:cs="Times New Roman"/>
          <w:sz w:val="28"/>
          <w:szCs w:val="28"/>
        </w:rPr>
        <w:t>На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4B3E">
        <w:rPr>
          <w:rFonts w:ascii="Times New Roman" w:eastAsia="Calibri" w:hAnsi="Times New Roman" w:cs="Times New Roman"/>
          <w:sz w:val="28"/>
          <w:szCs w:val="28"/>
        </w:rPr>
        <w:t>6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год расходы прогнозируются </w:t>
      </w:r>
      <w:r w:rsidR="00477801">
        <w:rPr>
          <w:rFonts w:ascii="Times New Roman" w:eastAsia="Calibri" w:hAnsi="Times New Roman" w:cs="Times New Roman"/>
          <w:sz w:val="28"/>
          <w:szCs w:val="28"/>
        </w:rPr>
        <w:t>со снижением к п</w:t>
      </w:r>
      <w:r w:rsidRPr="00AA0DBE">
        <w:rPr>
          <w:rFonts w:ascii="Times New Roman" w:eastAsia="Calibri" w:hAnsi="Times New Roman" w:cs="Times New Roman"/>
          <w:sz w:val="28"/>
          <w:szCs w:val="28"/>
        </w:rPr>
        <w:t>ро</w:t>
      </w:r>
      <w:r w:rsidR="002D0398">
        <w:rPr>
          <w:rFonts w:ascii="Times New Roman" w:eastAsia="Calibri" w:hAnsi="Times New Roman" w:cs="Times New Roman"/>
          <w:sz w:val="28"/>
          <w:szCs w:val="28"/>
        </w:rPr>
        <w:t>екту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7780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года на </w:t>
      </w:r>
      <w:r w:rsidR="00477801">
        <w:rPr>
          <w:rFonts w:ascii="Times New Roman" w:eastAsia="Calibri" w:hAnsi="Times New Roman" w:cs="Times New Roman"/>
          <w:sz w:val="28"/>
          <w:szCs w:val="28"/>
        </w:rPr>
        <w:t>29,1</w:t>
      </w:r>
      <w:r w:rsidRPr="00AA0DBE">
        <w:rPr>
          <w:rFonts w:ascii="Times New Roman" w:eastAsia="Calibri" w:hAnsi="Times New Roman" w:cs="Times New Roman"/>
          <w:sz w:val="28"/>
          <w:szCs w:val="28"/>
        </w:rPr>
        <w:t>%</w:t>
      </w:r>
      <w:r w:rsidR="00477801">
        <w:rPr>
          <w:rFonts w:ascii="Times New Roman" w:eastAsia="Calibri" w:hAnsi="Times New Roman" w:cs="Times New Roman"/>
          <w:sz w:val="28"/>
          <w:szCs w:val="28"/>
        </w:rPr>
        <w:t xml:space="preserve"> (на 362228,</w:t>
      </w:r>
      <w:r w:rsidR="006B5BDE">
        <w:rPr>
          <w:rFonts w:ascii="Times New Roman" w:eastAsia="Calibri" w:hAnsi="Times New Roman" w:cs="Times New Roman"/>
          <w:sz w:val="28"/>
          <w:szCs w:val="28"/>
        </w:rPr>
        <w:t>3</w:t>
      </w:r>
      <w:r w:rsidR="00477801">
        <w:rPr>
          <w:rFonts w:ascii="Times New Roman" w:eastAsia="Calibri" w:hAnsi="Times New Roman" w:cs="Times New Roman"/>
          <w:sz w:val="28"/>
          <w:szCs w:val="28"/>
        </w:rPr>
        <w:t xml:space="preserve"> тыс. руб.)</w:t>
      </w:r>
      <w:r w:rsidRPr="00AA0DBE">
        <w:rPr>
          <w:rFonts w:ascii="Times New Roman" w:eastAsia="Calibri" w:hAnsi="Times New Roman" w:cs="Times New Roman"/>
          <w:sz w:val="28"/>
          <w:szCs w:val="28"/>
        </w:rPr>
        <w:t>,</w:t>
      </w:r>
      <w:r w:rsidR="006B5BDE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77801">
        <w:rPr>
          <w:rFonts w:ascii="Times New Roman" w:eastAsia="Calibri" w:hAnsi="Times New Roman" w:cs="Times New Roman"/>
          <w:sz w:val="28"/>
          <w:szCs w:val="28"/>
        </w:rPr>
        <w:t>7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год по отношению к про</w:t>
      </w:r>
      <w:r>
        <w:rPr>
          <w:rFonts w:ascii="Times New Roman" w:eastAsia="Calibri" w:hAnsi="Times New Roman" w:cs="Times New Roman"/>
          <w:sz w:val="28"/>
          <w:szCs w:val="28"/>
        </w:rPr>
        <w:t>екту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7780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</w:rPr>
        <w:t>прогнозируются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снижением на 1,</w:t>
      </w:r>
      <w:r w:rsidR="0047780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477801">
        <w:rPr>
          <w:rFonts w:ascii="Times New Roman" w:eastAsia="Calibri" w:hAnsi="Times New Roman" w:cs="Times New Roman"/>
          <w:sz w:val="28"/>
          <w:szCs w:val="28"/>
        </w:rPr>
        <w:t xml:space="preserve"> (на 16610,4 тыс. руб.).</w:t>
      </w:r>
    </w:p>
    <w:p w:rsidR="00477801" w:rsidRDefault="002D0398" w:rsidP="002D0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778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н</w:t>
      </w:r>
      <w:r w:rsidRPr="00AA0DBE">
        <w:rPr>
          <w:rFonts w:ascii="Times New Roman" w:hAnsi="Times New Roman" w:cs="Times New Roman"/>
          <w:sz w:val="28"/>
          <w:szCs w:val="28"/>
        </w:rPr>
        <w:t xml:space="preserve">аибольший объем расходов планируется направить на образование – </w:t>
      </w:r>
      <w:r w:rsidR="00477801">
        <w:rPr>
          <w:rFonts w:ascii="Times New Roman" w:hAnsi="Times New Roman" w:cs="Times New Roman"/>
          <w:sz w:val="28"/>
          <w:szCs w:val="28"/>
        </w:rPr>
        <w:t>629356,</w:t>
      </w:r>
      <w:r w:rsidR="006B5BDE">
        <w:rPr>
          <w:rFonts w:ascii="Times New Roman" w:hAnsi="Times New Roman" w:cs="Times New Roman"/>
          <w:sz w:val="28"/>
          <w:szCs w:val="28"/>
        </w:rPr>
        <w:t>2</w:t>
      </w:r>
      <w:r w:rsidRPr="00AA0DB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., или </w:t>
      </w:r>
      <w:r w:rsidR="004778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</w:t>
      </w:r>
      <w:r w:rsidR="004778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221D7">
        <w:rPr>
          <w:rFonts w:ascii="Times New Roman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национальную экономику – </w:t>
      </w:r>
      <w:r w:rsidR="0047780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142</w:t>
      </w:r>
      <w:r w:rsidR="00477801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778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</w:t>
      </w:r>
      <w:r w:rsidR="004778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477801">
        <w:rPr>
          <w:rFonts w:ascii="Times New Roman" w:hAnsi="Times New Roman" w:cs="Times New Roman"/>
          <w:sz w:val="28"/>
          <w:szCs w:val="28"/>
        </w:rPr>
        <w:t>жилищно-коммунальное хозяйство – 161679,7 тыс. руб. (13%).</w:t>
      </w:r>
    </w:p>
    <w:p w:rsidR="00C8196B" w:rsidRPr="00AA0DBE" w:rsidRDefault="00C8196B" w:rsidP="002D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5B9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Информация об объемах расходов на </w:t>
      </w:r>
      <w:r w:rsidRPr="00AA0DBE">
        <w:rPr>
          <w:rFonts w:ascii="Times New Roman" w:eastAsia="Calibri" w:hAnsi="Times New Roman" w:cs="Times New Roman"/>
          <w:sz w:val="28"/>
          <w:szCs w:val="28"/>
        </w:rPr>
        <w:t>202</w:t>
      </w:r>
      <w:r w:rsidR="00477801">
        <w:rPr>
          <w:rFonts w:ascii="Times New Roman" w:eastAsia="Calibri" w:hAnsi="Times New Roman" w:cs="Times New Roman"/>
          <w:sz w:val="28"/>
          <w:szCs w:val="28"/>
        </w:rPr>
        <w:t>5</w:t>
      </w:r>
      <w:r w:rsidRPr="00AA0DBE">
        <w:rPr>
          <w:rFonts w:ascii="Times New Roman" w:eastAsia="Calibri" w:hAnsi="Times New Roman" w:cs="Times New Roman"/>
          <w:sz w:val="28"/>
          <w:szCs w:val="28"/>
        </w:rPr>
        <w:t>-202</w:t>
      </w:r>
      <w:r w:rsidR="00477801">
        <w:rPr>
          <w:rFonts w:ascii="Times New Roman" w:eastAsia="Calibri" w:hAnsi="Times New Roman" w:cs="Times New Roman"/>
          <w:sz w:val="28"/>
          <w:szCs w:val="28"/>
        </w:rPr>
        <w:t>7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 в разрезе разделов функциональной классификации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представлена в таблице (тыс.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eastAsia="Calibri" w:hAnsi="Times New Roman" w:cs="Times New Roman"/>
          <w:sz w:val="28"/>
          <w:szCs w:val="28"/>
        </w:rPr>
        <w:t>руб.):</w:t>
      </w:r>
    </w:p>
    <w:p w:rsidR="005455B9" w:rsidRPr="00D10077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4962" w:type="pct"/>
        <w:tblInd w:w="108" w:type="dxa"/>
        <w:tblLayout w:type="fixed"/>
        <w:tblLook w:val="04A0"/>
      </w:tblPr>
      <w:tblGrid>
        <w:gridCol w:w="2411"/>
        <w:gridCol w:w="1145"/>
        <w:gridCol w:w="697"/>
        <w:gridCol w:w="1134"/>
        <w:gridCol w:w="710"/>
        <w:gridCol w:w="992"/>
        <w:gridCol w:w="684"/>
        <w:gridCol w:w="1016"/>
        <w:gridCol w:w="709"/>
      </w:tblGrid>
      <w:tr w:rsidR="005455B9" w:rsidRPr="005A4894" w:rsidTr="00FA5FCE">
        <w:trPr>
          <w:trHeight w:val="364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B9" w:rsidRPr="001C0AAF" w:rsidRDefault="005455B9" w:rsidP="00545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77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C0A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12D5E" w:rsidRDefault="005455B9" w:rsidP="0051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(решение В-П городской Думы </w:t>
            </w:r>
            <w:proofErr w:type="gramEnd"/>
          </w:p>
          <w:p w:rsidR="005455B9" w:rsidRDefault="005455B9" w:rsidP="00512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r w:rsidR="00477801">
              <w:rPr>
                <w:rFonts w:ascii="Times New Roman" w:hAnsi="Times New Roman"/>
                <w:b/>
                <w:sz w:val="20"/>
                <w:szCs w:val="20"/>
              </w:rPr>
              <w:t>29.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D03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47780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5455B9" w:rsidRPr="005A4894" w:rsidRDefault="005455B9" w:rsidP="0047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47780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E5D7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47780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D039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C0AA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B9" w:rsidRDefault="005455B9" w:rsidP="0054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455B9" w:rsidRPr="005A4894" w:rsidRDefault="005455B9" w:rsidP="0047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477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B9" w:rsidRDefault="005455B9" w:rsidP="0054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455B9" w:rsidRPr="005A4894" w:rsidRDefault="005455B9" w:rsidP="0047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477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B9" w:rsidRDefault="005455B9" w:rsidP="0054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455B9" w:rsidRPr="005A4894" w:rsidRDefault="005455B9" w:rsidP="0047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477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5A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455B9" w:rsidRPr="005A4894" w:rsidTr="00FA5FCE">
        <w:trPr>
          <w:trHeight w:val="213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0A514C" w:rsidP="0047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7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068201,4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1246544,</w:t>
            </w:r>
            <w:r w:rsidR="006B5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FA5FCE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884315,7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867705,3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455B9" w:rsidRPr="005A4894" w:rsidTr="00FA5FCE">
        <w:trPr>
          <w:trHeight w:val="146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06040E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477801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94913,4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155284" w:rsidP="00341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47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7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90439,2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103937,3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2D0398" w:rsidRPr="005A4894" w:rsidTr="00FA5FCE">
        <w:trPr>
          <w:trHeight w:val="146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98" w:rsidRPr="0006040E" w:rsidRDefault="002D0398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Default="00477801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Default="00BF003E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Pr="00E47BBC" w:rsidRDefault="000A514C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Default="00BF003E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98" w:rsidRDefault="002D0398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Default="002D0398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98" w:rsidRDefault="00FA5FCE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98" w:rsidRDefault="002D0398" w:rsidP="002D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55B9" w:rsidRPr="005A4894" w:rsidTr="00FA5FCE">
        <w:trPr>
          <w:trHeight w:val="266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477801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477801" w:rsidP="00477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FA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FA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5455B9" w:rsidP="00FA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A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A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455B9" w:rsidRPr="005A4894" w:rsidTr="00FA5FCE">
        <w:trPr>
          <w:trHeight w:val="13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06040E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A3049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118178,2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155284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A3049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251421,4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31876,5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0A514C" w:rsidP="006B5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A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6558,8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5455B9" w:rsidRPr="005A4894" w:rsidTr="00FA5FCE">
        <w:trPr>
          <w:trHeight w:val="62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A3049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132856,1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155284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A3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A3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1679,7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32283,2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34428,8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455B9" w:rsidRPr="005A4894" w:rsidTr="00FA5FCE">
        <w:trPr>
          <w:trHeight w:val="122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A3049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455B9" w:rsidRPr="005A4894" w:rsidTr="00FA5FCE">
        <w:trPr>
          <w:trHeight w:val="181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06040E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A3049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613356,6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155284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A30499" w:rsidP="00544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629356,</w:t>
            </w:r>
            <w:r w:rsidR="00544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FA5FCE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601059,2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06040E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572670,9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06040E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5455B9" w:rsidRPr="005A4894" w:rsidTr="00FA5FCE">
        <w:trPr>
          <w:trHeight w:val="114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40BA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60427,5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155284" w:rsidP="00155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F0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A30499" w:rsidP="00A3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58741,1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56862,3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FA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A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6796,1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5455B9" w:rsidRPr="005A4894" w:rsidTr="00FA5FCE">
        <w:trPr>
          <w:trHeight w:val="106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5455B9" w:rsidP="00A3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A3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155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15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A30499" w:rsidP="00A3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38094,7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FA5FCE" w:rsidP="00FA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F0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34708,3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FA5FCE" w:rsidP="00FA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5455B9" w:rsidRPr="005A4894" w:rsidTr="00FA5FCE">
        <w:trPr>
          <w:trHeight w:val="18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A30499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15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A30499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15949,6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FA5FC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5455B9" w:rsidP="00FA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A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FA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FA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FA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5455B9" w:rsidRPr="005A4894" w:rsidTr="00FA5FCE">
        <w:trPr>
          <w:trHeight w:val="300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B9" w:rsidRPr="005A4894" w:rsidRDefault="005455B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A30499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0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E47BBC" w:rsidRDefault="00A30499" w:rsidP="000A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BF003E" w:rsidP="00FA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FA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FA5FCE" w:rsidP="00FA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A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9" w:rsidRPr="005A4894" w:rsidRDefault="000A514C" w:rsidP="00FA5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A5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B9" w:rsidRPr="005A4894" w:rsidRDefault="008F11D7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</w:tbl>
    <w:p w:rsidR="005455B9" w:rsidRPr="005A4894" w:rsidRDefault="005455B9" w:rsidP="00545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55B9" w:rsidRDefault="005455B9" w:rsidP="00C8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городского бюджета по видам расходов бюджетной классификации представлен в таблице (тыс. руб.):</w:t>
      </w:r>
    </w:p>
    <w:p w:rsidR="005455B9" w:rsidRPr="00E0043E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4820"/>
        <w:gridCol w:w="1559"/>
        <w:gridCol w:w="1134"/>
        <w:gridCol w:w="1134"/>
        <w:gridCol w:w="816"/>
      </w:tblGrid>
      <w:tr w:rsidR="005B15CC" w:rsidRPr="00AA0DBE" w:rsidTr="005455B9">
        <w:tc>
          <w:tcPr>
            <w:tcW w:w="4820" w:type="dxa"/>
            <w:vMerge w:val="restart"/>
          </w:tcPr>
          <w:p w:rsidR="005455B9" w:rsidRPr="00AA24C4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и наименование расходов городского бюджета</w:t>
            </w:r>
          </w:p>
        </w:tc>
        <w:tc>
          <w:tcPr>
            <w:tcW w:w="1559" w:type="dxa"/>
            <w:vMerge w:val="restart"/>
          </w:tcPr>
          <w:p w:rsidR="005455B9" w:rsidRPr="00AA24C4" w:rsidRDefault="005455B9" w:rsidP="005455B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E5D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12D5E" w:rsidRDefault="005455B9" w:rsidP="00512D5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A24C4">
              <w:rPr>
                <w:rFonts w:ascii="Times New Roman" w:hAnsi="Times New Roman"/>
                <w:b/>
                <w:sz w:val="20"/>
                <w:szCs w:val="20"/>
              </w:rPr>
              <w:t xml:space="preserve">(решение В-П городской Думы </w:t>
            </w:r>
            <w:proofErr w:type="gramEnd"/>
          </w:p>
          <w:p w:rsidR="005455B9" w:rsidRDefault="005455B9" w:rsidP="00512D5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C4"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r w:rsidR="001E5D70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AA24C4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C8196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AA24C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1E5D7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5455B9" w:rsidRPr="00AA24C4" w:rsidRDefault="005455B9" w:rsidP="001E5D7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A24C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1E5D7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819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A24C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1E5D7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819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5455B9" w:rsidRPr="00AA24C4" w:rsidRDefault="005455B9" w:rsidP="001E5D70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на 202</w:t>
            </w:r>
            <w:r w:rsidR="001E5D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0" w:type="dxa"/>
            <w:gridSpan w:val="2"/>
          </w:tcPr>
          <w:p w:rsidR="005455B9" w:rsidRPr="00AA24C4" w:rsidRDefault="005455B9" w:rsidP="001D5C5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202</w:t>
            </w:r>
            <w:r w:rsidR="001D5C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/202</w:t>
            </w:r>
            <w:r w:rsidR="001D5C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5B15CC" w:rsidRPr="00AA0DBE" w:rsidTr="005455B9">
        <w:tc>
          <w:tcPr>
            <w:tcW w:w="4820" w:type="dxa"/>
            <w:vMerge/>
          </w:tcPr>
          <w:p w:rsidR="005455B9" w:rsidRPr="00AA24C4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455B9" w:rsidRPr="00AA24C4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455B9" w:rsidRPr="00AA24C4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55B9" w:rsidRPr="00AA24C4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16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B15CC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559" w:type="dxa"/>
          </w:tcPr>
          <w:p w:rsidR="00512D5E" w:rsidRDefault="00512D5E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55B9" w:rsidRPr="00314A8A" w:rsidRDefault="009243CB" w:rsidP="00540C4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540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79933,1</w:t>
            </w:r>
          </w:p>
        </w:tc>
        <w:tc>
          <w:tcPr>
            <w:tcW w:w="1134" w:type="dxa"/>
          </w:tcPr>
          <w:p w:rsidR="00512D5E" w:rsidRDefault="00512D5E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55B9" w:rsidRPr="00314A8A" w:rsidRDefault="009243CB" w:rsidP="00540C4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540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73458,5</w:t>
            </w:r>
          </w:p>
        </w:tc>
        <w:tc>
          <w:tcPr>
            <w:tcW w:w="1134" w:type="dxa"/>
          </w:tcPr>
          <w:p w:rsidR="00512D5E" w:rsidRDefault="00512D5E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55B9" w:rsidRPr="00314A8A" w:rsidRDefault="005B15CC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-6474,6</w:t>
            </w:r>
          </w:p>
        </w:tc>
        <w:tc>
          <w:tcPr>
            <w:tcW w:w="816" w:type="dxa"/>
          </w:tcPr>
          <w:p w:rsidR="00512D5E" w:rsidRDefault="00512D5E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55B9" w:rsidRPr="00314A8A" w:rsidRDefault="005B15CC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5B15CC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«Закупка товаров, работ и услуг для обеспечения государственных (муниципальных) нужд»</w:t>
            </w:r>
          </w:p>
        </w:tc>
        <w:tc>
          <w:tcPr>
            <w:tcW w:w="1559" w:type="dxa"/>
          </w:tcPr>
          <w:p w:rsidR="005455B9" w:rsidRPr="00314A8A" w:rsidRDefault="00540C4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352597,3</w:t>
            </w:r>
          </w:p>
        </w:tc>
        <w:tc>
          <w:tcPr>
            <w:tcW w:w="1134" w:type="dxa"/>
          </w:tcPr>
          <w:p w:rsidR="005455B9" w:rsidRPr="00314A8A" w:rsidRDefault="00540C4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581547,9</w:t>
            </w:r>
          </w:p>
        </w:tc>
        <w:tc>
          <w:tcPr>
            <w:tcW w:w="1134" w:type="dxa"/>
          </w:tcPr>
          <w:p w:rsidR="005455B9" w:rsidRPr="00314A8A" w:rsidRDefault="005B15CC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+228950,6</w:t>
            </w:r>
          </w:p>
        </w:tc>
        <w:tc>
          <w:tcPr>
            <w:tcW w:w="816" w:type="dxa"/>
          </w:tcPr>
          <w:p w:rsidR="005455B9" w:rsidRPr="00314A8A" w:rsidRDefault="005B15CC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+64,9</w:t>
            </w:r>
          </w:p>
        </w:tc>
      </w:tr>
      <w:tr w:rsidR="005B15CC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«Социальное обеспечение и иные выплаты населению»</w:t>
            </w:r>
          </w:p>
        </w:tc>
        <w:tc>
          <w:tcPr>
            <w:tcW w:w="1559" w:type="dxa"/>
          </w:tcPr>
          <w:p w:rsidR="005455B9" w:rsidRPr="00314A8A" w:rsidRDefault="005455B9" w:rsidP="005440B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40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4998,</w:t>
            </w:r>
            <w:r w:rsidR="00544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455B9" w:rsidRPr="00314A8A" w:rsidRDefault="00540C4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22035,7</w:t>
            </w:r>
          </w:p>
        </w:tc>
        <w:tc>
          <w:tcPr>
            <w:tcW w:w="1134" w:type="dxa"/>
          </w:tcPr>
          <w:p w:rsidR="005455B9" w:rsidRPr="00314A8A" w:rsidRDefault="005B15CC" w:rsidP="005440BA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+7037,</w:t>
            </w:r>
            <w:r w:rsidR="00544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</w:tcPr>
          <w:p w:rsidR="005455B9" w:rsidRPr="00314A8A" w:rsidRDefault="005B15CC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+46,9</w:t>
            </w:r>
          </w:p>
        </w:tc>
      </w:tr>
      <w:tr w:rsidR="005B15CC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«Капитальные вложения в объекты государственной (муниципальной) собственности»</w:t>
            </w:r>
          </w:p>
        </w:tc>
        <w:tc>
          <w:tcPr>
            <w:tcW w:w="1559" w:type="dxa"/>
          </w:tcPr>
          <w:p w:rsidR="005455B9" w:rsidRPr="00314A8A" w:rsidRDefault="00540C4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80337,3</w:t>
            </w:r>
          </w:p>
        </w:tc>
        <w:tc>
          <w:tcPr>
            <w:tcW w:w="1134" w:type="dxa"/>
          </w:tcPr>
          <w:p w:rsidR="005455B9" w:rsidRPr="00314A8A" w:rsidRDefault="00540C4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26870,3</w:t>
            </w:r>
          </w:p>
        </w:tc>
        <w:tc>
          <w:tcPr>
            <w:tcW w:w="1134" w:type="dxa"/>
          </w:tcPr>
          <w:p w:rsidR="005455B9" w:rsidRPr="00314A8A" w:rsidRDefault="005B15CC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-53467,0</w:t>
            </w:r>
          </w:p>
        </w:tc>
        <w:tc>
          <w:tcPr>
            <w:tcW w:w="816" w:type="dxa"/>
          </w:tcPr>
          <w:p w:rsidR="005455B9" w:rsidRPr="00314A8A" w:rsidRDefault="009243CB" w:rsidP="005B15C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5B1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5B15CC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600 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559" w:type="dxa"/>
          </w:tcPr>
          <w:p w:rsidR="005455B9" w:rsidRPr="00314A8A" w:rsidRDefault="00540C4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124869,8</w:t>
            </w:r>
          </w:p>
        </w:tc>
        <w:tc>
          <w:tcPr>
            <w:tcW w:w="1134" w:type="dxa"/>
          </w:tcPr>
          <w:p w:rsidR="005455B9" w:rsidRPr="00314A8A" w:rsidRDefault="00540C4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123317,5</w:t>
            </w:r>
          </w:p>
        </w:tc>
        <w:tc>
          <w:tcPr>
            <w:tcW w:w="1134" w:type="dxa"/>
          </w:tcPr>
          <w:p w:rsidR="005455B9" w:rsidRPr="00314A8A" w:rsidRDefault="009243CB" w:rsidP="005B15C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5B1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1552,3</w:t>
            </w:r>
          </w:p>
        </w:tc>
        <w:tc>
          <w:tcPr>
            <w:tcW w:w="816" w:type="dxa"/>
          </w:tcPr>
          <w:p w:rsidR="005455B9" w:rsidRPr="00314A8A" w:rsidRDefault="005B15CC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5B15CC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314A8A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долга»</w:t>
            </w:r>
          </w:p>
        </w:tc>
        <w:tc>
          <w:tcPr>
            <w:tcW w:w="1559" w:type="dxa"/>
          </w:tcPr>
          <w:p w:rsidR="005455B9" w:rsidRPr="00314A8A" w:rsidRDefault="00540C4B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134" w:type="dxa"/>
          </w:tcPr>
          <w:p w:rsidR="005455B9" w:rsidRPr="00314A8A" w:rsidRDefault="00540C4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10100,0</w:t>
            </w:r>
          </w:p>
        </w:tc>
        <w:tc>
          <w:tcPr>
            <w:tcW w:w="1134" w:type="dxa"/>
          </w:tcPr>
          <w:p w:rsidR="005455B9" w:rsidRPr="00314A8A" w:rsidRDefault="009243CB" w:rsidP="005B15C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5B1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16" w:type="dxa"/>
          </w:tcPr>
          <w:p w:rsidR="005455B9" w:rsidRPr="00314A8A" w:rsidRDefault="009243CB" w:rsidP="005B15C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5B1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5B1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B15CC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800 </w:t>
            </w:r>
            <w:r w:rsidRPr="00314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«Иные бюджетные ассигнования»</w:t>
            </w:r>
          </w:p>
        </w:tc>
        <w:tc>
          <w:tcPr>
            <w:tcW w:w="1559" w:type="dxa"/>
          </w:tcPr>
          <w:p w:rsidR="005455B9" w:rsidRPr="00314A8A" w:rsidRDefault="00540C4B" w:rsidP="009243C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11265,7</w:t>
            </w:r>
          </w:p>
        </w:tc>
        <w:tc>
          <w:tcPr>
            <w:tcW w:w="1134" w:type="dxa"/>
          </w:tcPr>
          <w:p w:rsidR="005455B9" w:rsidRPr="00314A8A" w:rsidRDefault="009243CB" w:rsidP="00540C4B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40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40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</w:tcPr>
          <w:p w:rsidR="005455B9" w:rsidRPr="00314A8A" w:rsidRDefault="005B15CC" w:rsidP="005455B9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-2051,6</w:t>
            </w:r>
          </w:p>
        </w:tc>
        <w:tc>
          <w:tcPr>
            <w:tcW w:w="816" w:type="dxa"/>
          </w:tcPr>
          <w:p w:rsidR="005455B9" w:rsidRPr="00314A8A" w:rsidRDefault="005B15CC" w:rsidP="005B15CC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-18,2</w:t>
            </w:r>
          </w:p>
        </w:tc>
      </w:tr>
      <w:tr w:rsidR="005B15CC" w:rsidRPr="00314A8A" w:rsidTr="005455B9">
        <w:tc>
          <w:tcPr>
            <w:tcW w:w="4820" w:type="dxa"/>
          </w:tcPr>
          <w:p w:rsidR="005455B9" w:rsidRPr="00314A8A" w:rsidRDefault="005455B9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A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5455B9" w:rsidRPr="00314A8A" w:rsidRDefault="00540C4B" w:rsidP="005440B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1068201,</w:t>
            </w:r>
            <w:r w:rsidR="005440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455B9" w:rsidRPr="00314A8A" w:rsidRDefault="00540C4B" w:rsidP="009243C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1246544,0</w:t>
            </w:r>
          </w:p>
        </w:tc>
        <w:tc>
          <w:tcPr>
            <w:tcW w:w="1134" w:type="dxa"/>
          </w:tcPr>
          <w:p w:rsidR="005455B9" w:rsidRPr="00314A8A" w:rsidRDefault="005B15CC" w:rsidP="005440B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+178342,</w:t>
            </w:r>
            <w:r w:rsidR="005440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</w:tcPr>
          <w:p w:rsidR="005455B9" w:rsidRPr="00314A8A" w:rsidRDefault="005B15CC" w:rsidP="00377AA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+16,7</w:t>
            </w:r>
          </w:p>
        </w:tc>
      </w:tr>
    </w:tbl>
    <w:p w:rsidR="00E0043E" w:rsidRPr="00E0043E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164B0" w:rsidRDefault="005455B9" w:rsidP="00E0043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9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ояснительной записке к проекту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заработную плату с </w:t>
      </w:r>
      <w:r w:rsidR="00C00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начислениями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органов местного самоуправления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B15CC">
        <w:rPr>
          <w:rFonts w:ascii="Times New Roman" w:eastAsia="Times New Roman" w:hAnsi="Times New Roman" w:cs="Times New Roman"/>
          <w:sz w:val="28"/>
          <w:szCs w:val="28"/>
          <w:lang w:eastAsia="ru-RU"/>
        </w:rPr>
        <w:t>3458,5</w:t>
      </w:r>
      <w:r w:rsid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A670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</w:t>
      </w:r>
      <w:r w:rsidR="005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решений, принятых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заработной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средств на заработную плату с </w:t>
      </w:r>
      <w:r w:rsidR="00D84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числениями предусмотрен с</w:t>
      </w:r>
      <w:r w:rsidR="005B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снижением </w:t>
      </w:r>
      <w:r w:rsidRPr="002C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</w:t>
      </w:r>
      <w:r w:rsidR="005B1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654B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550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1AE8" w:rsidRDefault="00654B91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7745" w:rsidRDefault="002164B0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55B9" w:rsidRPr="009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городского бюджета на закупку товаров, работ, услуг для обеспечения муниципальных нужд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закупок бюджетных учреждений) в</w:t>
      </w:r>
      <w:r w:rsidR="005455B9" w:rsidRPr="009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4B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5B9" w:rsidRPr="009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55B9" w:rsidRPr="009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планируются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654B91">
        <w:rPr>
          <w:rFonts w:ascii="Times New Roman" w:eastAsia="Times New Roman" w:hAnsi="Times New Roman" w:cs="Times New Roman"/>
          <w:sz w:val="28"/>
          <w:szCs w:val="28"/>
          <w:lang w:eastAsia="ru-RU"/>
        </w:rPr>
        <w:t>581547,9</w:t>
      </w:r>
      <w:r w:rsidR="005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5B9" w:rsidRPr="00216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руб., т.е. с </w:t>
      </w:r>
      <w:r w:rsidR="00C90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0EF9">
        <w:rPr>
          <w:rFonts w:ascii="Times New Roman" w:eastAsia="Times New Roman" w:hAnsi="Times New Roman" w:cs="Times New Roman"/>
          <w:sz w:val="28"/>
          <w:szCs w:val="28"/>
          <w:lang w:eastAsia="ru-RU"/>
        </w:rPr>
        <w:t>8950,6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к уровню 202</w:t>
      </w:r>
      <w:r w:rsidR="00C90E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или на </w:t>
      </w:r>
      <w:r w:rsidR="00C90EF9">
        <w:rPr>
          <w:rFonts w:ascii="Times New Roman" w:eastAsia="Times New Roman" w:hAnsi="Times New Roman" w:cs="Times New Roman"/>
          <w:sz w:val="28"/>
          <w:szCs w:val="28"/>
          <w:lang w:eastAsia="ru-RU"/>
        </w:rPr>
        <w:t>64,9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E40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рост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закупку товаров, работ, услуг запланирова</w:t>
      </w:r>
      <w:r w:rsid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главн</w:t>
      </w:r>
      <w:r w:rsid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4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«администрация города» - на 210571,4 тыс</w:t>
      </w:r>
      <w:proofErr w:type="gramEnd"/>
      <w:r w:rsid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 (рост в 2 раза),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образования» </w:t>
      </w:r>
      <w:r w:rsid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>19582,2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E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(13,6%).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0BA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55B9" w:rsidRDefault="005440BA" w:rsidP="005440B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Пояснительной записке р</w:t>
      </w:r>
      <w:r w:rsidR="005455B9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оплату коммунальных услуг муниципальных учреждений предусмотрены с учетом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</w:t>
      </w:r>
      <w:r w:rsidR="005455B9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тарифов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региональной службы по тарифам Кировской области и</w:t>
      </w:r>
      <w:r w:rsidR="005455B9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режимом экономии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5B9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5455B9" w:rsidRDefault="005455B9" w:rsidP="005455B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приобретением материальных затрат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предусмотрены на уровне плановых назначений по состоянию на 01.09.20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5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A49" w:rsidRDefault="005455B9" w:rsidP="0068185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856" w:rsidRPr="00824F47" w:rsidRDefault="005455B9" w:rsidP="00832A4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44A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44A9D">
        <w:rPr>
          <w:rFonts w:ascii="Times New Roman" w:eastAsia="Times New Roman" w:hAnsi="Times New Roman"/>
          <w:sz w:val="28"/>
          <w:szCs w:val="28"/>
          <w:lang w:eastAsia="ru-RU"/>
        </w:rPr>
        <w:t>оциальное обеспечение и иные выплаты населению»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0E774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направить </w:t>
      </w:r>
      <w:r w:rsidR="000E7745">
        <w:rPr>
          <w:rFonts w:ascii="Times New Roman" w:eastAsia="Times New Roman" w:hAnsi="Times New Roman"/>
          <w:sz w:val="28"/>
          <w:szCs w:val="28"/>
          <w:lang w:eastAsia="ru-RU"/>
        </w:rPr>
        <w:t>22035,7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864D8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0E774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ростом</w:t>
      </w:r>
      <w:r w:rsidR="00864D81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предыдущему году на </w:t>
      </w:r>
      <w:r w:rsidR="000E7745">
        <w:rPr>
          <w:rFonts w:ascii="Times New Roman" w:eastAsia="Times New Roman" w:hAnsi="Times New Roman"/>
          <w:sz w:val="28"/>
          <w:szCs w:val="28"/>
          <w:lang w:eastAsia="ru-RU"/>
        </w:rPr>
        <w:t>7037,</w:t>
      </w:r>
      <w:r w:rsidR="005440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E774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или на 46,9</w:t>
      </w:r>
      <w:r w:rsidRPr="00984B7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F6C7D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увеличения бюджетных ассигнований на обеспечение жильем молодых семей на 6207,3 тыс. руб., на ежемесячные выплаты на детей-сирот и детей, оставшихся без попечения родителей - на 772,3 тыс. руб., на питание детей-инвалидов </w:t>
      </w:r>
      <w:r w:rsidR="00832A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F6C7D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CF6C7D">
        <w:rPr>
          <w:rFonts w:ascii="Times New Roman" w:eastAsia="Times New Roman" w:hAnsi="Times New Roman"/>
          <w:sz w:val="28"/>
          <w:szCs w:val="28"/>
          <w:lang w:eastAsia="ru-RU"/>
        </w:rPr>
        <w:t xml:space="preserve"> 126,7 тыс. руб.</w:t>
      </w:r>
    </w:p>
    <w:p w:rsidR="005455B9" w:rsidRPr="00824F47" w:rsidRDefault="00681856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55B9" w:rsidRPr="00984B7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компенсации платы, взимаемой с родителей за присмотр и уход за детьми в дошкольных </w:t>
      </w:r>
      <w:r w:rsidR="00CF6C7D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организациях, уменьшен</w:t>
      </w:r>
      <w:r w:rsidR="005455B9" w:rsidRPr="00984B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F6C7D">
        <w:rPr>
          <w:rFonts w:ascii="Times New Roman" w:eastAsia="Times New Roman" w:hAnsi="Times New Roman"/>
          <w:sz w:val="28"/>
          <w:szCs w:val="28"/>
          <w:lang w:eastAsia="ru-RU"/>
        </w:rPr>
        <w:t>77,7</w:t>
      </w:r>
      <w:r w:rsidR="005455B9" w:rsidRPr="00984B7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="005455B9" w:rsidRPr="00864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55B9" w:rsidRPr="00824F47">
        <w:rPr>
          <w:rFonts w:ascii="Times New Roman" w:eastAsia="Times New Roman" w:hAnsi="Times New Roman"/>
          <w:sz w:val="28"/>
          <w:szCs w:val="28"/>
          <w:lang w:eastAsia="ru-RU"/>
        </w:rPr>
        <w:t xml:space="preserve">доплат к пенсиям муниципальных служащих </w:t>
      </w:r>
      <w:r w:rsidR="00824F47" w:rsidRPr="00824F47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 на </w:t>
      </w:r>
      <w:r w:rsidR="00CF6C7D">
        <w:rPr>
          <w:rFonts w:ascii="Times New Roman" w:eastAsia="Times New Roman" w:hAnsi="Times New Roman"/>
          <w:sz w:val="28"/>
          <w:szCs w:val="28"/>
          <w:lang w:eastAsia="ru-RU"/>
        </w:rPr>
        <w:t>25,3</w:t>
      </w:r>
      <w:r w:rsidR="005455B9" w:rsidRPr="00824F4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</w:p>
    <w:p w:rsidR="00832A49" w:rsidRDefault="00832A49" w:rsidP="005455B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A68" w:rsidRDefault="005455B9" w:rsidP="005455B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C2E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0C2EAD"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P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E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53467,0 тыс. руб., </w:t>
      </w:r>
      <w:r w:rsidRPr="006D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Pr="006D0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D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капитальные вложения в объекты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D0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202</w:t>
      </w:r>
      <w:r w:rsidR="000C2E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8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FE4A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расходы на строительство </w:t>
      </w:r>
      <w:r w:rsidR="00FE4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блочной котельной предусмотрены в сумме 18983,5 тыс. руб., на реализацию проекта по реконструкции объектов питьевого водоснабжения в сумме 48230,5</w:t>
      </w:r>
      <w:r w:rsidR="00F8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FE7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B2C" w:rsidRDefault="00FE79F6" w:rsidP="00051B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расходы на капитальные вложения составя</w:t>
      </w:r>
      <w:r w:rsidR="005455B9" w:rsidRPr="006D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E4A68">
        <w:rPr>
          <w:rFonts w:ascii="Times New Roman" w:eastAsia="Times New Roman" w:hAnsi="Times New Roman"/>
          <w:sz w:val="28"/>
          <w:szCs w:val="28"/>
          <w:lang w:eastAsia="ru-RU"/>
        </w:rPr>
        <w:t>26870,3 тыс. руб.</w:t>
      </w:r>
      <w:r w:rsidR="005440B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51B2C">
        <w:rPr>
          <w:rFonts w:ascii="Times New Roman" w:eastAsia="Calibri" w:hAnsi="Times New Roman" w:cs="Times New Roman"/>
          <w:sz w:val="28"/>
          <w:szCs w:val="28"/>
        </w:rPr>
        <w:t xml:space="preserve">будут направлены на </w:t>
      </w:r>
      <w:r w:rsidR="00051B2C" w:rsidRPr="00AA0DBE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="00051B2C">
        <w:rPr>
          <w:rFonts w:ascii="Times New Roman" w:eastAsia="Calibri" w:hAnsi="Times New Roman" w:cs="Times New Roman"/>
          <w:sz w:val="28"/>
          <w:szCs w:val="28"/>
        </w:rPr>
        <w:t>ю</w:t>
      </w:r>
      <w:r w:rsidR="00051B2C" w:rsidRPr="00AA0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B2C">
        <w:rPr>
          <w:rFonts w:ascii="Times New Roman" w:eastAsia="Calibri" w:hAnsi="Times New Roman" w:cs="Times New Roman"/>
          <w:sz w:val="28"/>
          <w:szCs w:val="28"/>
        </w:rPr>
        <w:t xml:space="preserve">следующих </w:t>
      </w:r>
      <w:r w:rsidR="00051B2C" w:rsidRPr="00AA0DBE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051B2C">
        <w:rPr>
          <w:rFonts w:ascii="Times New Roman" w:eastAsia="Calibri" w:hAnsi="Times New Roman" w:cs="Times New Roman"/>
          <w:sz w:val="28"/>
          <w:szCs w:val="28"/>
        </w:rPr>
        <w:t>й:</w:t>
      </w:r>
    </w:p>
    <w:p w:rsidR="00051B2C" w:rsidRDefault="00051B2C" w:rsidP="00051B2C">
      <w:pPr>
        <w:spacing w:after="0" w:line="240" w:lineRule="auto"/>
        <w:ind w:firstLine="708"/>
        <w:jc w:val="both"/>
        <w:outlineLvl w:val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подготовку объектов коммунальной инфраструктуры к работе в осенне-зимний период (установка блочной газовой котельной)</w:t>
      </w:r>
      <w:r w:rsidR="00832A4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9100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</w:t>
      </w:r>
      <w:r>
        <w:rPr>
          <w:rFonts w:ascii="Times New Roman" w:eastAsia="Calibri" w:hAnsi="Times New Roman" w:cs="Times New Roman"/>
          <w:sz w:val="28"/>
          <w:szCs w:val="28"/>
        </w:rPr>
        <w:t>. руб.</w:t>
      </w:r>
      <w:r w:rsidR="0086453A">
        <w:rPr>
          <w:rFonts w:ascii="Times New Roman" w:eastAsia="Calibri" w:hAnsi="Times New Roman" w:cs="Times New Roman"/>
          <w:sz w:val="28"/>
          <w:szCs w:val="28"/>
        </w:rPr>
        <w:t>, в том числе средства областного бюджета в сумме 5700,0 тыс. руб.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1B2C" w:rsidRDefault="00051B2C" w:rsidP="00051B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по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прав детей-сирот и детей, оставшихся без попечения родителей, на жилое помещение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законом Кировской области «</w:t>
      </w:r>
      <w:r w:rsidRPr="00AA0DBE">
        <w:rPr>
          <w:rFonts w:ascii="Times New Roman" w:eastAsia="Calibri" w:hAnsi="Times New Roman" w:cs="Times New Roman"/>
          <w:sz w:val="28"/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A0DBE">
        <w:rPr>
          <w:rFonts w:ascii="Times New Roman" w:eastAsia="Calibri" w:hAnsi="Times New Roman" w:cs="Times New Roman"/>
          <w:sz w:val="28"/>
          <w:szCs w:val="28"/>
        </w:rPr>
        <w:t xml:space="preserve"> попавши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в сложную жизненную ситуацию» </w:t>
      </w:r>
      <w:r w:rsidR="00832A4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15288,0 тыс. руб. (приобретение 14 квартир);</w:t>
      </w:r>
      <w:proofErr w:type="gramEnd"/>
    </w:p>
    <w:p w:rsidR="00051B2C" w:rsidRDefault="00051B2C" w:rsidP="005455B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045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E4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</w:t>
      </w:r>
      <w:r w:rsidR="002B04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E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питьевого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доснабжения</w:t>
      </w:r>
      <w:r w:rsidR="002B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(водозабор «Хлебозаводской»)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2B04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40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045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5440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5455B9" w:rsidRDefault="00051B2C" w:rsidP="005455B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4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ПСД по реконструкции системы ливневой канализации у музыкальной школы – 500,0 тыс. руб.</w:t>
      </w:r>
    </w:p>
    <w:p w:rsidR="00051B2C" w:rsidRPr="00AA0DBE" w:rsidRDefault="00051B2C" w:rsidP="00051B2C">
      <w:pPr>
        <w:spacing w:after="0" w:line="240" w:lineRule="auto"/>
        <w:ind w:firstLine="708"/>
        <w:jc w:val="both"/>
        <w:outlineLvl w:val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146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A0DBE">
        <w:rPr>
          <w:rFonts w:ascii="Times New Roman" w:eastAsia="Calibri" w:hAnsi="Times New Roman" w:cs="Times New Roman"/>
          <w:sz w:val="28"/>
          <w:szCs w:val="28"/>
        </w:rPr>
        <w:t>обеспечение прав детей-сирот и детей, оставшихся без попечения родителей, на жилое помещение</w:t>
      </w:r>
      <w:r w:rsidR="000065DF" w:rsidRPr="00006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5DF" w:rsidRPr="00146D42">
        <w:rPr>
          <w:rFonts w:ascii="Times New Roman" w:eastAsia="Calibri" w:hAnsi="Times New Roman" w:cs="Times New Roman"/>
          <w:sz w:val="28"/>
          <w:szCs w:val="28"/>
        </w:rPr>
        <w:t>предусмотрен</w:t>
      </w:r>
      <w:r w:rsidR="000065DF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0065DF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146D42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065DF">
        <w:rPr>
          <w:rFonts w:ascii="Times New Roman" w:eastAsia="Calibri" w:hAnsi="Times New Roman" w:cs="Times New Roman"/>
          <w:sz w:val="28"/>
          <w:szCs w:val="28"/>
        </w:rPr>
        <w:t>2012,0</w:t>
      </w:r>
      <w:r w:rsidRPr="00146D42">
        <w:rPr>
          <w:rFonts w:ascii="Times New Roman" w:eastAsia="Calibri" w:hAnsi="Times New Roman" w:cs="Times New Roman"/>
          <w:sz w:val="28"/>
          <w:szCs w:val="28"/>
        </w:rPr>
        <w:t xml:space="preserve"> тыс. руб., на 202</w:t>
      </w:r>
      <w:r w:rsidR="000065DF">
        <w:rPr>
          <w:rFonts w:ascii="Times New Roman" w:eastAsia="Calibri" w:hAnsi="Times New Roman" w:cs="Times New Roman"/>
          <w:sz w:val="28"/>
          <w:szCs w:val="28"/>
        </w:rPr>
        <w:t>7</w:t>
      </w:r>
      <w:r w:rsidRPr="00146D4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2A49">
        <w:rPr>
          <w:rFonts w:ascii="Times New Roman" w:eastAsia="Calibri" w:hAnsi="Times New Roman" w:cs="Times New Roman"/>
          <w:sz w:val="28"/>
          <w:szCs w:val="28"/>
        </w:rPr>
        <w:t>-</w:t>
      </w:r>
      <w:r w:rsidRPr="00146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5DF">
        <w:rPr>
          <w:rFonts w:ascii="Times New Roman" w:eastAsia="Calibri" w:hAnsi="Times New Roman" w:cs="Times New Roman"/>
          <w:sz w:val="28"/>
          <w:szCs w:val="28"/>
        </w:rPr>
        <w:t>5460,0</w:t>
      </w:r>
      <w:r w:rsidRPr="00146D42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051B2C" w:rsidRPr="00AA0DBE" w:rsidRDefault="00051B2C" w:rsidP="0005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1054" w:rsidRDefault="005455B9" w:rsidP="002A18B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субсидий </w:t>
      </w:r>
      <w:r w:rsidRPr="00744A9D">
        <w:rPr>
          <w:rFonts w:ascii="Times New Roman" w:eastAsia="Times New Roman" w:hAnsi="Times New Roman"/>
          <w:sz w:val="28"/>
          <w:szCs w:val="28"/>
          <w:lang w:eastAsia="ru-RU"/>
        </w:rPr>
        <w:t>бюджетным учреждениям и иным некоммерческим организациям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 </w:t>
      </w:r>
      <w:r w:rsidR="004B43A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A18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объеме </w:t>
      </w:r>
      <w:r w:rsidR="00774B96" w:rsidRPr="00774B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18B5">
        <w:rPr>
          <w:rFonts w:ascii="Times New Roman" w:eastAsia="Times New Roman" w:hAnsi="Times New Roman"/>
          <w:sz w:val="28"/>
          <w:szCs w:val="28"/>
          <w:lang w:eastAsia="ru-RU"/>
        </w:rPr>
        <w:t>23317,5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со снижением к предыдущему году на</w:t>
      </w:r>
      <w:r w:rsidR="00B70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8B5" w:rsidRPr="002A18B5">
        <w:rPr>
          <w:rFonts w:ascii="Times New Roman" w:eastAsia="Times New Roman" w:hAnsi="Times New Roman"/>
          <w:sz w:val="28"/>
          <w:szCs w:val="28"/>
          <w:lang w:eastAsia="ru-RU"/>
        </w:rPr>
        <w:t>1552,3</w:t>
      </w:r>
      <w:r w:rsidR="002A18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или на </w:t>
      </w:r>
      <w:r w:rsidR="002A18B5">
        <w:rPr>
          <w:rFonts w:ascii="Times New Roman" w:eastAsia="Times New Roman" w:hAnsi="Times New Roman"/>
          <w:sz w:val="28"/>
          <w:szCs w:val="28"/>
          <w:lang w:eastAsia="ru-RU"/>
        </w:rPr>
        <w:t>1,2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На финансовое обеспечение выполнения муниципального </w:t>
      </w:r>
      <w:proofErr w:type="gramStart"/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>задания</w:t>
      </w:r>
      <w:proofErr w:type="gramEnd"/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муниципальных услуг в сфере культуры, дополнительного образования</w:t>
      </w:r>
      <w:r w:rsidR="004B43A3" w:rsidRPr="0072105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спорта (</w:t>
      </w:r>
      <w:r w:rsidR="004B43A3"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</w:t>
      </w:r>
      <w:r w:rsidR="0013704A" w:rsidRPr="0072105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учреждений) предусмотрены </w:t>
      </w:r>
      <w:r w:rsidR="00652A3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</w:t>
      </w:r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ассигнования </w:t>
      </w:r>
      <w:r w:rsidR="0013704A" w:rsidRPr="00721054">
        <w:rPr>
          <w:rFonts w:ascii="Times New Roman" w:eastAsia="Times New Roman" w:hAnsi="Times New Roman"/>
          <w:sz w:val="28"/>
          <w:szCs w:val="28"/>
          <w:lang w:eastAsia="ru-RU"/>
        </w:rPr>
        <w:t>в размере 1</w:t>
      </w:r>
      <w:r w:rsidR="009D3DF5" w:rsidRPr="00721054">
        <w:rPr>
          <w:rFonts w:ascii="Times New Roman" w:eastAsia="Times New Roman" w:hAnsi="Times New Roman"/>
          <w:sz w:val="28"/>
          <w:szCs w:val="28"/>
          <w:lang w:eastAsia="ru-RU"/>
        </w:rPr>
        <w:t>19198,1</w:t>
      </w:r>
      <w:r w:rsidR="0013704A"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9D3DF5"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53E"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со снижением к 2024 году на </w:t>
      </w:r>
      <w:r w:rsidR="009D3DF5" w:rsidRPr="00721054">
        <w:rPr>
          <w:rFonts w:ascii="Times New Roman" w:eastAsia="Times New Roman" w:hAnsi="Times New Roman"/>
          <w:sz w:val="28"/>
          <w:szCs w:val="28"/>
          <w:lang w:eastAsia="ru-RU"/>
        </w:rPr>
        <w:t>688,5</w:t>
      </w:r>
      <w:r w:rsidR="0051453E"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4B43A3" w:rsidRPr="002A18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455B9" w:rsidRDefault="004B43A3" w:rsidP="00750C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721054" w:rsidRPr="007210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721054"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предусмотрены </w:t>
      </w:r>
      <w:r w:rsidR="00760BF0"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бюджетным учреждениям </w:t>
      </w:r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760BF0" w:rsidRPr="007210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иные цели</w:t>
      </w:r>
      <w:r w:rsidR="00721054"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: на поддержку отрасли культуры </w:t>
      </w:r>
      <w:r w:rsidR="00527D2D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</w:t>
      </w:r>
      <w:r w:rsidR="00721054" w:rsidRPr="00721054">
        <w:rPr>
          <w:rFonts w:ascii="Times New Roman" w:eastAsia="Times New Roman" w:hAnsi="Times New Roman"/>
          <w:sz w:val="28"/>
          <w:szCs w:val="28"/>
          <w:lang w:eastAsia="ru-RU"/>
        </w:rPr>
        <w:t>комплектовани</w:t>
      </w:r>
      <w:r w:rsidR="00527D2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21054"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книжного фонда</w:t>
      </w:r>
      <w:r w:rsidR="00527D2D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библиотечной системы) </w:t>
      </w:r>
      <w:r w:rsidR="00760BF0" w:rsidRPr="00721054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721054" w:rsidRPr="00721054">
        <w:rPr>
          <w:rFonts w:ascii="Times New Roman" w:eastAsia="Times New Roman" w:hAnsi="Times New Roman"/>
          <w:sz w:val="28"/>
          <w:szCs w:val="28"/>
          <w:lang w:eastAsia="ru-RU"/>
        </w:rPr>
        <w:t>3,2</w:t>
      </w:r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="00527D2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финансовую поддержку детского и юношеского спорта</w:t>
      </w:r>
      <w:r w:rsidRPr="00721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D2D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спортивной школы) в сумме 866,0 тыс. руб., оплату стоимости питания в летних лагерях (спортивной школе) в сумме 423,7 тыс. руб., </w:t>
      </w:r>
      <w:r w:rsidR="00CB6676">
        <w:rPr>
          <w:rFonts w:ascii="Times New Roman" w:eastAsia="Times New Roman" w:hAnsi="Times New Roman"/>
          <w:sz w:val="28"/>
          <w:szCs w:val="28"/>
          <w:lang w:eastAsia="ru-RU"/>
        </w:rPr>
        <w:t>разработку ПСД по реставрации здания</w:t>
      </w:r>
      <w:proofErr w:type="gramEnd"/>
      <w:r w:rsidR="00CB6676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дома-музея Шпагина Г.С. в сумме 1000,0 тыс. руб.</w:t>
      </w:r>
      <w:r w:rsidR="005440BA">
        <w:rPr>
          <w:rFonts w:ascii="Times New Roman" w:eastAsia="Times New Roman" w:hAnsi="Times New Roman"/>
          <w:sz w:val="28"/>
          <w:szCs w:val="28"/>
          <w:lang w:eastAsia="ru-RU"/>
        </w:rPr>
        <w:t xml:space="preserve"> (музею).</w:t>
      </w:r>
    </w:p>
    <w:p w:rsidR="00750CE4" w:rsidRDefault="00CB6676" w:rsidP="00750C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финансовую поддержку социально-ориентированных некоммерческих организаций предусмотрены бюджетные ассигнования в сумме 763,1 тыс. руб., в том числе </w:t>
      </w:r>
      <w:r w:rsidR="00750CE4">
        <w:rPr>
          <w:rFonts w:ascii="Times New Roman" w:hAnsi="Times New Roman"/>
          <w:sz w:val="28"/>
          <w:szCs w:val="28"/>
        </w:rPr>
        <w:t xml:space="preserve">Вятскополянской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r w:rsidR="00652A30">
        <w:rPr>
          <w:rFonts w:ascii="Times New Roman" w:hAnsi="Times New Roman"/>
          <w:sz w:val="28"/>
          <w:szCs w:val="28"/>
        </w:rPr>
        <w:t>-</w:t>
      </w:r>
      <w:r w:rsidR="00750CE4">
        <w:rPr>
          <w:rFonts w:ascii="Times New Roman" w:hAnsi="Times New Roman"/>
          <w:sz w:val="28"/>
          <w:szCs w:val="28"/>
        </w:rPr>
        <w:t xml:space="preserve"> 379,6 тыс. руб., Вятскополянской районной организации Кировской областной организации общероссийской общественной организации «Всероссийское общество инвалидов» - 383,5 тыс. руб.</w:t>
      </w:r>
      <w:proofErr w:type="gramEnd"/>
    </w:p>
    <w:p w:rsidR="00E0043E" w:rsidRDefault="005455B9" w:rsidP="00CB6D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455B9" w:rsidRDefault="005455B9" w:rsidP="00E004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41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</w:t>
      </w:r>
      <w:r w:rsidR="00041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202</w:t>
      </w:r>
      <w:r w:rsidR="000417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иных бюджетных ассигнований на </w:t>
      </w:r>
      <w:r w:rsidR="00041716">
        <w:rPr>
          <w:rFonts w:ascii="Times New Roman" w:eastAsia="Times New Roman" w:hAnsi="Times New Roman"/>
          <w:sz w:val="28"/>
          <w:szCs w:val="28"/>
          <w:lang w:eastAsia="ru-RU"/>
        </w:rPr>
        <w:t>2051,6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0B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CB6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716">
        <w:rPr>
          <w:rFonts w:ascii="Times New Roman" w:eastAsia="Times New Roman" w:hAnsi="Times New Roman"/>
          <w:sz w:val="28"/>
          <w:szCs w:val="28"/>
          <w:lang w:eastAsia="ru-RU"/>
        </w:rPr>
        <w:t>В предыдущем году были предусмотрены бюджетные ассигнования в сумме 1676,3 тыс. руб. на исполнение судебных актов. Также снижен размер резервного фонда, который составил 100,0 тыс. руб. Как и в 2024 году п</w:t>
      </w:r>
      <w:r w:rsidR="00CB6D16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редусмотрены бюджетные </w:t>
      </w:r>
      <w:r w:rsidR="00576243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CB6D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приобретение </w:t>
      </w:r>
      <w:r w:rsidR="0057624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коммунальной техники по договору финансовой аренды (лизинга) </w:t>
      </w:r>
      <w:r w:rsidR="00924E6F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243">
        <w:rPr>
          <w:rFonts w:ascii="Times New Roman" w:eastAsia="Times New Roman" w:hAnsi="Times New Roman"/>
          <w:sz w:val="28"/>
          <w:szCs w:val="28"/>
          <w:lang w:eastAsia="ru-RU"/>
        </w:rPr>
        <w:t>5000,0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55B9" w:rsidRPr="00AA0DBE" w:rsidRDefault="005455B9" w:rsidP="005455B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17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объем расходов на обслуживание муниципального долга</w:t>
      </w:r>
      <w:r w:rsidRPr="0012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B6D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716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4171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CB6D16"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 w:rsidR="004F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55B9" w:rsidRPr="00AA0DBE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76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городского бюджета </w:t>
      </w:r>
      <w:r w:rsidR="00652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2A30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A30" w:rsidRPr="00652A3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652A30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C76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средства на </w:t>
      </w:r>
      <w:r w:rsidR="00972C76" w:rsidRPr="00936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реализацию </w:t>
      </w:r>
      <w:r w:rsidR="00C82CD9" w:rsidRPr="00C8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национальных</w:t>
      </w:r>
      <w:r w:rsidRPr="00936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</w:t>
      </w:r>
      <w:r w:rsidR="005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Указом Президента Российской Федерации от 07.05.20</w:t>
      </w:r>
      <w:r w:rsidR="00C8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B0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2C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2C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национальных целях и стратегических задачах развития Российской Федерации на период до 20</w:t>
      </w:r>
      <w:r w:rsidR="00C82CD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перспективу до 2036 года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455B9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</w:t>
      </w:r>
      <w:r w:rsidR="00B039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52A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реализацию 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2C76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18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C76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2C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2C76"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5440B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8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5440B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5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54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рамках двух национальных проектов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2618C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61C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8C5">
        <w:rPr>
          <w:rFonts w:ascii="Times New Roman" w:eastAsia="Times New Roman" w:hAnsi="Times New Roman" w:cs="Times New Roman"/>
          <w:sz w:val="28"/>
          <w:szCs w:val="28"/>
          <w:lang w:eastAsia="ru-RU"/>
        </w:rPr>
        <w:t>147,8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202</w:t>
      </w:r>
      <w:r w:rsidR="00062607" w:rsidRP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году -</w:t>
      </w:r>
      <w:r w:rsid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07" w:rsidRP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57030,1</w:t>
      </w:r>
      <w:r w:rsidRP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62607" w:rsidRP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2027 году -</w:t>
      </w:r>
      <w:r w:rsid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07" w:rsidRP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30956,6</w:t>
      </w:r>
      <w:r w:rsidRP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26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065EF" w:rsidRPr="0026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40BA" w:rsidRPr="005440BA" w:rsidRDefault="005440BA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8080"/>
        <w:gridCol w:w="1276"/>
      </w:tblGrid>
      <w:tr w:rsidR="00BE5EEA" w:rsidRPr="00AA0DBE" w:rsidTr="00F74A8E">
        <w:tc>
          <w:tcPr>
            <w:tcW w:w="8080" w:type="dxa"/>
          </w:tcPr>
          <w:p w:rsidR="00BE5EEA" w:rsidRPr="00122D99" w:rsidRDefault="00BE5EEA" w:rsidP="005455B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D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национальных проектов</w:t>
            </w:r>
          </w:p>
        </w:tc>
        <w:tc>
          <w:tcPr>
            <w:tcW w:w="1276" w:type="dxa"/>
          </w:tcPr>
          <w:p w:rsidR="00BE5EEA" w:rsidRPr="00BE5EEA" w:rsidRDefault="00BE5EEA" w:rsidP="002618C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Pr="00BE5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261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E5E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5EEA" w:rsidRPr="00AA0DBE" w:rsidTr="00F74A8E">
        <w:tc>
          <w:tcPr>
            <w:tcW w:w="8080" w:type="dxa"/>
          </w:tcPr>
          <w:p w:rsidR="00BE5EEA" w:rsidRPr="002618C5" w:rsidRDefault="00BE5EEA" w:rsidP="005455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нацпроектам, в том числе:</w:t>
            </w:r>
          </w:p>
        </w:tc>
        <w:tc>
          <w:tcPr>
            <w:tcW w:w="1276" w:type="dxa"/>
          </w:tcPr>
          <w:p w:rsidR="00BE5EEA" w:rsidRPr="002618C5" w:rsidRDefault="002618C5" w:rsidP="005455B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184147,8</w:t>
            </w:r>
          </w:p>
        </w:tc>
      </w:tr>
      <w:tr w:rsidR="00BE5EEA" w:rsidRPr="00AA0DBE" w:rsidTr="00F74A8E">
        <w:tc>
          <w:tcPr>
            <w:tcW w:w="8080" w:type="dxa"/>
          </w:tcPr>
          <w:p w:rsidR="00BE5EEA" w:rsidRPr="002618C5" w:rsidRDefault="00BE5EEA" w:rsidP="002618C5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Национальный проект «</w:t>
            </w:r>
            <w:r w:rsidR="002618C5" w:rsidRPr="00261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Инфраструктура для жизни</w:t>
            </w:r>
            <w:r w:rsidRPr="00261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BE5EEA" w:rsidRPr="002618C5" w:rsidRDefault="00BE5EEA" w:rsidP="002618C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61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25556,4</w:t>
            </w:r>
          </w:p>
        </w:tc>
      </w:tr>
      <w:tr w:rsidR="00BE5EEA" w:rsidRPr="00AA0DBE" w:rsidTr="00F74A8E">
        <w:tc>
          <w:tcPr>
            <w:tcW w:w="8080" w:type="dxa"/>
          </w:tcPr>
          <w:p w:rsidR="00B31094" w:rsidRDefault="00BE5EEA" w:rsidP="002618C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проект «</w:t>
            </w:r>
            <w:r w:rsidR="002618C5" w:rsidRP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комфортной</w:t>
            </w:r>
            <w:r w:rsidR="002618C5" w:rsidRP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среды»</w:t>
            </w:r>
            <w:r w:rsidR="00B31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31094" w:rsidRDefault="00B31094" w:rsidP="002618C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комфортной городской среды – 13131,4 тыс. руб.;</w:t>
            </w:r>
          </w:p>
          <w:p w:rsidR="00BE5EEA" w:rsidRPr="002618C5" w:rsidRDefault="00B31094" w:rsidP="002618C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– 112425,0 тыс. руб.</w:t>
            </w:r>
            <w:r w:rsidR="002618C5" w:rsidRP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E5EEA" w:rsidRPr="002618C5" w:rsidRDefault="00BE5EEA" w:rsidP="002618C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25556,4</w:t>
            </w:r>
          </w:p>
        </w:tc>
      </w:tr>
      <w:tr w:rsidR="00BE5EEA" w:rsidRPr="00AA0DBE" w:rsidTr="00F74A8E">
        <w:tc>
          <w:tcPr>
            <w:tcW w:w="8080" w:type="dxa"/>
          </w:tcPr>
          <w:p w:rsidR="00BE5EEA" w:rsidRPr="002618C5" w:rsidRDefault="00BE5EEA" w:rsidP="002618C5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Национальный проект «</w:t>
            </w:r>
            <w:r w:rsidR="00261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Молодежь и дети</w:t>
            </w:r>
            <w:r w:rsidRPr="002618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BE5EEA" w:rsidRPr="002618C5" w:rsidRDefault="002618C5" w:rsidP="005455B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58591,4</w:t>
            </w:r>
          </w:p>
        </w:tc>
      </w:tr>
      <w:tr w:rsidR="00BE5EEA" w:rsidRPr="00AA0DBE" w:rsidTr="00F74A8E">
        <w:tc>
          <w:tcPr>
            <w:tcW w:w="8080" w:type="dxa"/>
          </w:tcPr>
          <w:p w:rsidR="00BE5EEA" w:rsidRPr="002618C5" w:rsidRDefault="00BE5EEA" w:rsidP="002618C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проект «</w:t>
            </w:r>
            <w:r w:rsid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лучшее детям»</w:t>
            </w:r>
            <w:r w:rsidR="00B31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мероприятия по модернизации школьных систем образования</w:t>
            </w:r>
          </w:p>
        </w:tc>
        <w:tc>
          <w:tcPr>
            <w:tcW w:w="1276" w:type="dxa"/>
          </w:tcPr>
          <w:p w:rsidR="00BE5EEA" w:rsidRPr="002618C5" w:rsidRDefault="002618C5" w:rsidP="005455B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40924,9</w:t>
            </w:r>
          </w:p>
        </w:tc>
      </w:tr>
      <w:tr w:rsidR="00BE5EEA" w:rsidRPr="00AA0DBE" w:rsidTr="00F74A8E">
        <w:tc>
          <w:tcPr>
            <w:tcW w:w="8080" w:type="dxa"/>
          </w:tcPr>
          <w:p w:rsidR="00BE5EEA" w:rsidRDefault="00BE5EEA" w:rsidP="002618C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проект «</w:t>
            </w:r>
            <w:r w:rsidR="0026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и наставники»</w:t>
            </w:r>
            <w:r w:rsidR="00B31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31094" w:rsidRDefault="00B31094" w:rsidP="002618C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общеобразовательных организациях – 1105,1 тыс. руб.;</w:t>
            </w:r>
          </w:p>
          <w:p w:rsidR="00B31094" w:rsidRPr="002618C5" w:rsidRDefault="00B31094" w:rsidP="002618C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ежемесячное денежное вознаграждение за классное руководство педагогическим работникам муниципальных образовательных организаций, реализующих </w:t>
            </w:r>
            <w:r w:rsidR="00F74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общеобразовательные программы – 16561,4 тыс. руб.</w:t>
            </w:r>
          </w:p>
        </w:tc>
        <w:tc>
          <w:tcPr>
            <w:tcW w:w="1276" w:type="dxa"/>
          </w:tcPr>
          <w:p w:rsidR="00BE5EEA" w:rsidRPr="002618C5" w:rsidRDefault="002618C5" w:rsidP="002618C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17666,5</w:t>
            </w:r>
          </w:p>
        </w:tc>
      </w:tr>
    </w:tbl>
    <w:p w:rsidR="00DA365D" w:rsidRPr="00F74A8E" w:rsidRDefault="005455B9" w:rsidP="005455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5B9" w:rsidRPr="00AA0DBE" w:rsidRDefault="005455B9" w:rsidP="00DA3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DBE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AA0DBE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>, направл</w:t>
      </w:r>
      <w:r w:rsidR="005440BA">
        <w:rPr>
          <w:rFonts w:ascii="Times New Roman" w:hAnsi="Times New Roman" w:cs="Times New Roman"/>
          <w:sz w:val="28"/>
          <w:szCs w:val="28"/>
        </w:rPr>
        <w:t>яемых</w:t>
      </w:r>
      <w:r w:rsidRPr="00AA0DBE">
        <w:rPr>
          <w:rFonts w:ascii="Times New Roman" w:hAnsi="Times New Roman" w:cs="Times New Roman"/>
          <w:sz w:val="28"/>
          <w:szCs w:val="28"/>
        </w:rPr>
        <w:t xml:space="preserve"> на реализацию национальн</w:t>
      </w:r>
      <w:r w:rsidR="007F5750">
        <w:rPr>
          <w:rFonts w:ascii="Times New Roman" w:hAnsi="Times New Roman" w:cs="Times New Roman"/>
          <w:sz w:val="28"/>
          <w:szCs w:val="28"/>
        </w:rPr>
        <w:t>ых</w:t>
      </w:r>
      <w:r w:rsidRPr="00AA0DB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F5750">
        <w:rPr>
          <w:rFonts w:ascii="Times New Roman" w:hAnsi="Times New Roman" w:cs="Times New Roman"/>
          <w:sz w:val="28"/>
          <w:szCs w:val="28"/>
        </w:rPr>
        <w:t>ов</w:t>
      </w:r>
      <w:r w:rsidRPr="00AA0DBE">
        <w:rPr>
          <w:rFonts w:ascii="Times New Roman" w:hAnsi="Times New Roman" w:cs="Times New Roman"/>
          <w:sz w:val="28"/>
          <w:szCs w:val="28"/>
        </w:rPr>
        <w:t xml:space="preserve"> в общем объеме расходов городского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0DBE">
        <w:rPr>
          <w:rFonts w:ascii="Times New Roman" w:hAnsi="Times New Roman" w:cs="Times New Roman"/>
          <w:sz w:val="28"/>
          <w:szCs w:val="28"/>
        </w:rPr>
        <w:t>202</w:t>
      </w:r>
      <w:r w:rsidR="00F74A8E">
        <w:rPr>
          <w:rFonts w:ascii="Times New Roman" w:hAnsi="Times New Roman" w:cs="Times New Roman"/>
          <w:sz w:val="28"/>
          <w:szCs w:val="28"/>
        </w:rPr>
        <w:t>5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0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proofErr w:type="gramEnd"/>
      <w:r w:rsidRPr="00AA0DBE">
        <w:rPr>
          <w:rFonts w:ascii="Times New Roman" w:hAnsi="Times New Roman" w:cs="Times New Roman"/>
          <w:sz w:val="28"/>
          <w:szCs w:val="28"/>
        </w:rPr>
        <w:t xml:space="preserve"> </w:t>
      </w:r>
      <w:r w:rsidR="00BE5EEA">
        <w:rPr>
          <w:rFonts w:ascii="Times New Roman" w:hAnsi="Times New Roman" w:cs="Times New Roman"/>
          <w:sz w:val="28"/>
          <w:szCs w:val="28"/>
        </w:rPr>
        <w:t>1</w:t>
      </w:r>
      <w:r w:rsidR="00F74A8E">
        <w:rPr>
          <w:rFonts w:ascii="Times New Roman" w:hAnsi="Times New Roman" w:cs="Times New Roman"/>
          <w:sz w:val="28"/>
          <w:szCs w:val="28"/>
        </w:rPr>
        <w:t>4,8</w:t>
      </w:r>
      <w:r w:rsidRPr="00AA0DBE">
        <w:rPr>
          <w:rFonts w:ascii="Times New Roman" w:hAnsi="Times New Roman" w:cs="Times New Roman"/>
          <w:sz w:val="28"/>
          <w:szCs w:val="28"/>
        </w:rPr>
        <w:t>%</w:t>
      </w:r>
      <w:r w:rsidR="00BE5EEA">
        <w:rPr>
          <w:rFonts w:ascii="Times New Roman" w:hAnsi="Times New Roman" w:cs="Times New Roman"/>
          <w:sz w:val="28"/>
          <w:szCs w:val="28"/>
        </w:rPr>
        <w:t>.</w:t>
      </w:r>
    </w:p>
    <w:p w:rsidR="005455B9" w:rsidRDefault="005455B9" w:rsidP="00924E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5B9" w:rsidRDefault="005455B9" w:rsidP="008D31D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представленным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городского бюджета </w:t>
      </w:r>
      <w:r w:rsidR="007F5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нормативных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A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плановом периоде 202</w:t>
      </w:r>
      <w:r w:rsid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365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9187,7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A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8D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ab/>
        <w:t xml:space="preserve">спрогнозированы </w:t>
      </w:r>
      <w:r w:rsidR="00E262FE">
        <w:rPr>
          <w:rFonts w:ascii="Times New Roman" w:hAnsi="Times New Roman" w:cs="Times New Roman"/>
          <w:sz w:val="28"/>
          <w:szCs w:val="28"/>
        </w:rPr>
        <w:t>на уровне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626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62F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5B9" w:rsidRDefault="005455B9" w:rsidP="0054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>В структуре расходов городского бюджета в 202</w:t>
      </w:r>
      <w:r w:rsidR="00E262FE">
        <w:rPr>
          <w:rFonts w:ascii="Times New Roman" w:hAnsi="Times New Roman" w:cs="Times New Roman"/>
          <w:sz w:val="28"/>
          <w:szCs w:val="28"/>
        </w:rPr>
        <w:t>5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</w:t>
      </w:r>
      <w:r w:rsidR="00E262FE">
        <w:rPr>
          <w:rFonts w:ascii="Times New Roman" w:hAnsi="Times New Roman" w:cs="Times New Roman"/>
          <w:sz w:val="28"/>
          <w:szCs w:val="28"/>
        </w:rPr>
        <w:t>у</w:t>
      </w:r>
      <w:r w:rsidRPr="00AA0DBE">
        <w:rPr>
          <w:rFonts w:ascii="Times New Roman" w:hAnsi="Times New Roman" w:cs="Times New Roman"/>
          <w:sz w:val="28"/>
          <w:szCs w:val="28"/>
        </w:rPr>
        <w:t xml:space="preserve"> доля расходов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DBE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AA0DBE">
        <w:rPr>
          <w:rFonts w:ascii="Times New Roman" w:hAnsi="Times New Roman" w:cs="Times New Roman"/>
          <w:sz w:val="28"/>
          <w:szCs w:val="28"/>
        </w:rPr>
        <w:t xml:space="preserve"> </w:t>
      </w:r>
      <w:r w:rsidR="00037EC4">
        <w:rPr>
          <w:rFonts w:ascii="Times New Roman" w:hAnsi="Times New Roman" w:cs="Times New Roman"/>
          <w:sz w:val="28"/>
          <w:szCs w:val="28"/>
        </w:rPr>
        <w:t>0,7%</w:t>
      </w:r>
      <w:r w:rsidR="00E262FE">
        <w:rPr>
          <w:rFonts w:ascii="Times New Roman" w:hAnsi="Times New Roman" w:cs="Times New Roman"/>
          <w:sz w:val="28"/>
          <w:szCs w:val="28"/>
        </w:rPr>
        <w:t>, в 2026-2027 годах - 1</w:t>
      </w:r>
      <w:r w:rsidRPr="00AA0DBE">
        <w:rPr>
          <w:rFonts w:ascii="Times New Roman" w:hAnsi="Times New Roman" w:cs="Times New Roman"/>
          <w:sz w:val="28"/>
          <w:szCs w:val="28"/>
        </w:rPr>
        <w:t>%.</w:t>
      </w:r>
    </w:p>
    <w:p w:rsidR="005455B9" w:rsidRDefault="005455B9" w:rsidP="002A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2FE">
        <w:rPr>
          <w:rFonts w:ascii="Times New Roman" w:hAnsi="Times New Roman" w:cs="Times New Roman"/>
          <w:sz w:val="28"/>
          <w:szCs w:val="28"/>
        </w:rPr>
        <w:t>Более 70% расходов в</w:t>
      </w:r>
      <w:r w:rsidRPr="00AA0DBE">
        <w:rPr>
          <w:rFonts w:ascii="Times New Roman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нормативных обязательств</w:t>
      </w:r>
      <w:r w:rsidR="00E262F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или 6526,0 тыс. руб.</w:t>
      </w:r>
      <w:r w:rsidR="006C2F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2A6AC5">
        <w:rPr>
          <w:rFonts w:ascii="Times New Roman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hAnsi="Times New Roman" w:cs="Times New Roman"/>
          <w:sz w:val="28"/>
          <w:szCs w:val="28"/>
        </w:rPr>
        <w:t>ежемесячная выплата денежных средств на содержание детей-сирот и детей, оставшихся без попечения родителей, находящихся под опекой (попечитель</w:t>
      </w:r>
      <w:r w:rsidR="002A6AC5">
        <w:rPr>
          <w:rFonts w:ascii="Times New Roman" w:hAnsi="Times New Roman" w:cs="Times New Roman"/>
          <w:sz w:val="28"/>
          <w:szCs w:val="28"/>
        </w:rPr>
        <w:t>ством).</w:t>
      </w:r>
    </w:p>
    <w:p w:rsidR="005455B9" w:rsidRPr="00AA0DBE" w:rsidRDefault="005455B9" w:rsidP="005455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B9" w:rsidRDefault="005455B9" w:rsidP="00E00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89E">
        <w:rPr>
          <w:rFonts w:ascii="Times New Roman" w:hAnsi="Times New Roman" w:cs="Times New Roman"/>
          <w:b/>
          <w:sz w:val="28"/>
          <w:szCs w:val="28"/>
        </w:rPr>
        <w:t>5</w:t>
      </w:r>
      <w:r w:rsidR="00EF4FBD">
        <w:rPr>
          <w:rFonts w:ascii="Times New Roman" w:hAnsi="Times New Roman" w:cs="Times New Roman"/>
          <w:b/>
          <w:sz w:val="28"/>
          <w:szCs w:val="28"/>
        </w:rPr>
        <w:t>.4.</w:t>
      </w:r>
      <w:r w:rsidRPr="00AA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дорожный фонд</w:t>
      </w:r>
    </w:p>
    <w:p w:rsidR="005455B9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 xml:space="preserve">Доходы городского бюджета, формирующие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0DBE">
        <w:rPr>
          <w:rFonts w:ascii="Times New Roman" w:hAnsi="Times New Roman" w:cs="Times New Roman"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DBE">
        <w:rPr>
          <w:rFonts w:ascii="Times New Roman" w:hAnsi="Times New Roman" w:cs="Times New Roman"/>
          <w:sz w:val="28"/>
          <w:szCs w:val="28"/>
        </w:rPr>
        <w:t xml:space="preserve"> на 202</w:t>
      </w:r>
      <w:r w:rsidR="00EF4FBD">
        <w:rPr>
          <w:rFonts w:ascii="Times New Roman" w:hAnsi="Times New Roman" w:cs="Times New Roman"/>
          <w:sz w:val="28"/>
          <w:szCs w:val="28"/>
        </w:rPr>
        <w:t>5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</w:t>
      </w:r>
      <w:r w:rsidR="006459BE">
        <w:rPr>
          <w:rFonts w:ascii="Times New Roman" w:hAnsi="Times New Roman" w:cs="Times New Roman"/>
          <w:sz w:val="28"/>
          <w:szCs w:val="28"/>
        </w:rPr>
        <w:t>244173,1</w:t>
      </w:r>
      <w:r w:rsidRPr="00AA0DB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455B9" w:rsidRPr="00AA0DBE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>В плановом периоде объем ассигнований дорожного фонда прогнозируется в следующих размерах: в 202</w:t>
      </w:r>
      <w:r w:rsidR="006459BE">
        <w:rPr>
          <w:rFonts w:ascii="Times New Roman" w:hAnsi="Times New Roman" w:cs="Times New Roman"/>
          <w:sz w:val="28"/>
          <w:szCs w:val="28"/>
        </w:rPr>
        <w:t>6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B6780">
        <w:rPr>
          <w:rFonts w:ascii="Times New Roman" w:hAnsi="Times New Roman" w:cs="Times New Roman"/>
          <w:sz w:val="28"/>
          <w:szCs w:val="28"/>
        </w:rPr>
        <w:t>2</w:t>
      </w:r>
      <w:r w:rsidR="006459BE">
        <w:rPr>
          <w:rFonts w:ascii="Times New Roman" w:hAnsi="Times New Roman" w:cs="Times New Roman"/>
          <w:sz w:val="28"/>
          <w:szCs w:val="28"/>
        </w:rPr>
        <w:t>5551,5</w:t>
      </w:r>
      <w:r w:rsidRPr="00AA0DBE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6459BE">
        <w:rPr>
          <w:rFonts w:ascii="Times New Roman" w:hAnsi="Times New Roman" w:cs="Times New Roman"/>
          <w:sz w:val="28"/>
          <w:szCs w:val="28"/>
        </w:rPr>
        <w:t>7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459BE">
        <w:rPr>
          <w:rFonts w:ascii="Times New Roman" w:hAnsi="Times New Roman" w:cs="Times New Roman"/>
          <w:sz w:val="28"/>
          <w:szCs w:val="28"/>
        </w:rPr>
        <w:t>20222,8</w:t>
      </w:r>
      <w:r w:rsidRPr="00AA0DB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455B9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hAnsi="Times New Roman" w:cs="Times New Roman"/>
          <w:sz w:val="28"/>
          <w:szCs w:val="28"/>
        </w:rPr>
        <w:t>Прогнозируемые объемы доходов, формирующи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0DBE">
        <w:rPr>
          <w:rFonts w:ascii="Times New Roman" w:hAnsi="Times New Roman" w:cs="Times New Roman"/>
          <w:sz w:val="28"/>
          <w:szCs w:val="28"/>
        </w:rPr>
        <w:t xml:space="preserve">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0DBE">
        <w:rPr>
          <w:rFonts w:ascii="Times New Roman" w:hAnsi="Times New Roman" w:cs="Times New Roman"/>
          <w:sz w:val="28"/>
          <w:szCs w:val="28"/>
        </w:rPr>
        <w:t>дорожного</w:t>
      </w:r>
      <w:r w:rsidRPr="00964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AA0DBE">
        <w:rPr>
          <w:rFonts w:ascii="Times New Roman" w:hAnsi="Times New Roman" w:cs="Times New Roman"/>
          <w:sz w:val="28"/>
          <w:szCs w:val="28"/>
        </w:rPr>
        <w:t>на 202</w:t>
      </w:r>
      <w:r w:rsidR="006459BE">
        <w:rPr>
          <w:rFonts w:ascii="Times New Roman" w:hAnsi="Times New Roman" w:cs="Times New Roman"/>
          <w:sz w:val="28"/>
          <w:szCs w:val="28"/>
        </w:rPr>
        <w:t>5</w:t>
      </w:r>
      <w:r w:rsidRPr="00AA0DBE">
        <w:rPr>
          <w:rFonts w:ascii="Times New Roman" w:hAnsi="Times New Roman" w:cs="Times New Roman"/>
          <w:sz w:val="28"/>
          <w:szCs w:val="28"/>
        </w:rPr>
        <w:t>-202</w:t>
      </w:r>
      <w:r w:rsidR="006459BE">
        <w:rPr>
          <w:rFonts w:ascii="Times New Roman" w:hAnsi="Times New Roman" w:cs="Times New Roman"/>
          <w:sz w:val="28"/>
          <w:szCs w:val="28"/>
        </w:rPr>
        <w:t>7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годы, в разрезе источников представлены в таблице (тыс. руб.):</w:t>
      </w:r>
    </w:p>
    <w:p w:rsidR="005455B9" w:rsidRPr="00E0043E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2"/>
        <w:gridCol w:w="1134"/>
        <w:gridCol w:w="993"/>
        <w:gridCol w:w="992"/>
      </w:tblGrid>
      <w:tr w:rsidR="000B6780" w:rsidRPr="00AA0DBE" w:rsidTr="00652A30">
        <w:trPr>
          <w:trHeight w:val="350"/>
        </w:trPr>
        <w:tc>
          <w:tcPr>
            <w:tcW w:w="6252" w:type="dxa"/>
            <w:shd w:val="clear" w:color="auto" w:fill="auto"/>
            <w:vAlign w:val="center"/>
          </w:tcPr>
          <w:p w:rsidR="000B6780" w:rsidRPr="00C16D5F" w:rsidRDefault="000B6780" w:rsidP="00545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Прогнозируемые объемы доходов городского бюджета, формирующих ассигнования муниципального дорожного фонда </w:t>
            </w:r>
          </w:p>
        </w:tc>
        <w:tc>
          <w:tcPr>
            <w:tcW w:w="1134" w:type="dxa"/>
            <w:shd w:val="clear" w:color="auto" w:fill="auto"/>
            <w:noWrap/>
          </w:tcPr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6780" w:rsidRPr="00C16D5F" w:rsidRDefault="000B6780" w:rsidP="006459BE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6459B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6780" w:rsidRPr="00C16D5F" w:rsidRDefault="000B6780" w:rsidP="006459BE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6459B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B6780" w:rsidRPr="00C16D5F" w:rsidRDefault="000B6780" w:rsidP="006459BE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6459B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C16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0B6780" w:rsidRPr="00AA0DBE" w:rsidTr="00652A30">
        <w:trPr>
          <w:trHeight w:val="263"/>
        </w:trPr>
        <w:tc>
          <w:tcPr>
            <w:tcW w:w="6252" w:type="dxa"/>
            <w:shd w:val="clear" w:color="auto" w:fill="auto"/>
            <w:vAlign w:val="center"/>
          </w:tcPr>
          <w:p w:rsidR="000B6780" w:rsidRPr="00C16D5F" w:rsidRDefault="000B6780" w:rsidP="00545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>инжекторных</w:t>
            </w:r>
            <w:proofErr w:type="spellEnd"/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>) двигателей, производимые на территории РФ и подлежащих зачислению в городской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80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B6780" w:rsidRPr="00C16D5F" w:rsidRDefault="006C69A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3060,0</w:t>
            </w:r>
          </w:p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B6780" w:rsidRPr="00C16D5F" w:rsidRDefault="006C69A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3099,7</w:t>
            </w:r>
          </w:p>
          <w:p w:rsidR="000B6780" w:rsidRPr="00C16D5F" w:rsidRDefault="000B678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B6780" w:rsidRPr="00C16D5F" w:rsidRDefault="006C69A0" w:rsidP="0025294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3266,9</w:t>
            </w:r>
          </w:p>
        </w:tc>
      </w:tr>
      <w:tr w:rsidR="000B6780" w:rsidRPr="00AA0DBE" w:rsidTr="00652A30">
        <w:trPr>
          <w:trHeight w:val="687"/>
        </w:trPr>
        <w:tc>
          <w:tcPr>
            <w:tcW w:w="6252" w:type="dxa"/>
            <w:shd w:val="clear" w:color="auto" w:fill="auto"/>
            <w:noWrap/>
            <w:vAlign w:val="center"/>
          </w:tcPr>
          <w:p w:rsidR="000B6780" w:rsidRPr="00C16D5F" w:rsidRDefault="000B6780" w:rsidP="00652A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ый</w:t>
            </w:r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налог с организаций и физических лиц (</w:t>
            </w:r>
            <w:r w:rsidRPr="004E5A25">
              <w:rPr>
                <w:rFonts w:ascii="Times New Roman" w:eastAsia="Times New Roman" w:hAnsi="Times New Roman" w:cs="Times New Roman"/>
                <w:bCs/>
                <w:lang w:eastAsia="ru-RU"/>
              </w:rPr>
              <w:t>на 202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4E5A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100%, на 2026</w:t>
            </w:r>
            <w:r w:rsidRPr="004E5A2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 – </w:t>
            </w:r>
            <w:r w:rsidR="0008646F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Pr="004E5A25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  <w:r w:rsidR="006C69A0">
              <w:rPr>
                <w:rFonts w:ascii="Times New Roman" w:eastAsia="Times New Roman" w:hAnsi="Times New Roman" w:cs="Times New Roman"/>
                <w:bCs/>
                <w:lang w:eastAsia="ru-RU"/>
              </w:rPr>
              <w:t>, на</w:t>
            </w:r>
            <w:r w:rsidR="006B43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C69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2027 год – </w:t>
            </w:r>
            <w:r w:rsidR="0008646F">
              <w:rPr>
                <w:rFonts w:ascii="Times New Roman" w:eastAsia="Times New Roman" w:hAnsi="Times New Roman" w:cs="Times New Roman"/>
                <w:bCs/>
                <w:lang w:eastAsia="ru-RU"/>
              </w:rPr>
              <w:t>13,2%</w:t>
            </w:r>
            <w:r w:rsidRPr="004E5A25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Pr="00C16D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80" w:rsidRPr="00C16D5F" w:rsidRDefault="0025294F" w:rsidP="006C69A0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6C69A0">
              <w:rPr>
                <w:rFonts w:ascii="Times New Roman" w:eastAsia="Times New Roman" w:hAnsi="Times New Roman" w:cs="Times New Roman"/>
                <w:bCs/>
                <w:lang w:eastAsia="ru-RU"/>
              </w:rPr>
              <w:t>431,0</w:t>
            </w:r>
          </w:p>
        </w:tc>
        <w:tc>
          <w:tcPr>
            <w:tcW w:w="993" w:type="dxa"/>
            <w:vAlign w:val="center"/>
          </w:tcPr>
          <w:p w:rsidR="000B6780" w:rsidRPr="00C16D5F" w:rsidRDefault="006B4337" w:rsidP="0025294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6431,0</w:t>
            </w:r>
          </w:p>
        </w:tc>
        <w:tc>
          <w:tcPr>
            <w:tcW w:w="992" w:type="dxa"/>
            <w:vAlign w:val="center"/>
          </w:tcPr>
          <w:p w:rsidR="000B6780" w:rsidRPr="00C16D5F" w:rsidRDefault="006B4337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848,9</w:t>
            </w:r>
          </w:p>
        </w:tc>
      </w:tr>
      <w:tr w:rsidR="000B6780" w:rsidRPr="00AA0DBE" w:rsidTr="00652A30">
        <w:trPr>
          <w:trHeight w:val="842"/>
        </w:trPr>
        <w:tc>
          <w:tcPr>
            <w:tcW w:w="6252" w:type="dxa"/>
            <w:shd w:val="clear" w:color="auto" w:fill="auto"/>
            <w:noWrap/>
          </w:tcPr>
          <w:p w:rsidR="000B6780" w:rsidRPr="00C16D5F" w:rsidRDefault="000B6780" w:rsidP="006B43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Часть доходов</w:t>
            </w:r>
            <w:r w:rsidR="0025294F">
              <w:rPr>
                <w:rFonts w:ascii="Times New Roman" w:eastAsia="Times New Roman" w:hAnsi="Times New Roman" w:cs="Times New Roman"/>
                <w:bCs/>
                <w:lang w:eastAsia="ru-RU"/>
              </w:rPr>
              <w:t>, получаемых в виде арендной платы за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</w:t>
            </w:r>
            <w:r w:rsidR="00652A3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ны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участк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>а также средства от продажи права на заключение договоров аренды на земельные участки (</w:t>
            </w:r>
            <w:r w:rsidR="008B43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2025 год – </w:t>
            </w:r>
            <w:r w:rsidR="006B433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%, </w:t>
            </w:r>
            <w:r w:rsidR="008B438F">
              <w:rPr>
                <w:rFonts w:ascii="Times New Roman" w:eastAsia="Times New Roman" w:hAnsi="Times New Roman" w:cs="Times New Roman"/>
                <w:bCs/>
                <w:lang w:eastAsia="ru-RU"/>
              </w:rPr>
              <w:t>на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2026 год </w:t>
            </w:r>
            <w:r w:rsidR="006B4337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="00F470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B4337">
              <w:rPr>
                <w:rFonts w:ascii="Times New Roman" w:eastAsia="Times New Roman" w:hAnsi="Times New Roman" w:cs="Times New Roman"/>
                <w:bCs/>
                <w:lang w:eastAsia="ru-RU"/>
              </w:rPr>
              <w:t>97,4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  <w:r w:rsidR="006C69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на 2027 год – </w:t>
            </w:r>
            <w:r w:rsidR="006B433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6C69A0">
              <w:rPr>
                <w:rFonts w:ascii="Times New Roman" w:eastAsia="Times New Roman" w:hAnsi="Times New Roman" w:cs="Times New Roman"/>
                <w:bCs/>
                <w:lang w:eastAsia="ru-RU"/>
              </w:rPr>
              <w:t>0%)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80" w:rsidRDefault="006C69A0" w:rsidP="006B4337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  <w:r w:rsidR="006B4337">
              <w:rPr>
                <w:rFonts w:ascii="Times New Roman" w:eastAsia="Times New Roman" w:hAnsi="Times New Roman" w:cs="Times New Roman"/>
                <w:bCs/>
                <w:lang w:eastAsia="ru-RU"/>
              </w:rPr>
              <w:t>56,0</w:t>
            </w:r>
          </w:p>
        </w:tc>
        <w:tc>
          <w:tcPr>
            <w:tcW w:w="993" w:type="dxa"/>
            <w:vAlign w:val="center"/>
          </w:tcPr>
          <w:p w:rsidR="000B6780" w:rsidRDefault="006B4337" w:rsidP="00E86A81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4388,8</w:t>
            </w:r>
          </w:p>
        </w:tc>
        <w:tc>
          <w:tcPr>
            <w:tcW w:w="992" w:type="dxa"/>
            <w:vAlign w:val="center"/>
          </w:tcPr>
          <w:p w:rsidR="000B6780" w:rsidRDefault="006B4337" w:rsidP="006B4337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4506,0</w:t>
            </w:r>
          </w:p>
        </w:tc>
      </w:tr>
      <w:tr w:rsidR="006B4337" w:rsidRPr="00AA0DBE" w:rsidTr="00652A30">
        <w:trPr>
          <w:trHeight w:val="842"/>
        </w:trPr>
        <w:tc>
          <w:tcPr>
            <w:tcW w:w="6252" w:type="dxa"/>
            <w:shd w:val="clear" w:color="auto" w:fill="auto"/>
            <w:noWrap/>
          </w:tcPr>
          <w:p w:rsidR="006B4337" w:rsidRDefault="006B4337" w:rsidP="00652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Часть доходов от продажи земельных участков,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</w:t>
            </w:r>
            <w:r w:rsidR="00652A3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собственность на которые не разграничена и которые </w:t>
            </w:r>
            <w:r w:rsidR="00652A30">
              <w:rPr>
                <w:rFonts w:ascii="Times New Roman" w:eastAsia="Times New Roman" w:hAnsi="Times New Roman" w:cs="Times New Roman"/>
                <w:bCs/>
                <w:lang w:eastAsia="ru-RU"/>
              </w:rPr>
              <w:t>располо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жены в границах городских округов (на 2025 год – 6,2%, на 2026 год – 0%, на 2027 год – 0%)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337" w:rsidRDefault="006B4337" w:rsidP="006B4337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217,0</w:t>
            </w:r>
          </w:p>
        </w:tc>
        <w:tc>
          <w:tcPr>
            <w:tcW w:w="993" w:type="dxa"/>
            <w:vAlign w:val="center"/>
          </w:tcPr>
          <w:p w:rsidR="006B4337" w:rsidRDefault="006B4337" w:rsidP="00E86A81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B4337" w:rsidRDefault="006B4337" w:rsidP="006B4337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0B6780" w:rsidRPr="00AA0DBE" w:rsidTr="00652A30">
        <w:trPr>
          <w:trHeight w:val="309"/>
        </w:trPr>
        <w:tc>
          <w:tcPr>
            <w:tcW w:w="6252" w:type="dxa"/>
            <w:shd w:val="clear" w:color="auto" w:fill="auto"/>
            <w:vAlign w:val="center"/>
          </w:tcPr>
          <w:p w:rsidR="000B6780" w:rsidRPr="00C16D5F" w:rsidRDefault="000B6780" w:rsidP="00545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D5F">
              <w:rPr>
                <w:rFonts w:ascii="Times New Roman" w:hAnsi="Times New Roman" w:cs="Times New Roman"/>
              </w:rPr>
              <w:t>Межбюджетные трансферты из областного бюджета</w:t>
            </w:r>
            <w:r>
              <w:rPr>
                <w:rFonts w:ascii="Times New Roman" w:hAnsi="Times New Roman" w:cs="Times New Roman"/>
              </w:rPr>
              <w:t>, в т. ч.</w:t>
            </w:r>
            <w:r w:rsidRPr="00C16D5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80" w:rsidRPr="00C16D5F" w:rsidRDefault="006C69A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224323,0</w:t>
            </w:r>
          </w:p>
        </w:tc>
        <w:tc>
          <w:tcPr>
            <w:tcW w:w="993" w:type="dxa"/>
            <w:vAlign w:val="center"/>
          </w:tcPr>
          <w:p w:rsidR="000B6780" w:rsidRPr="00C16D5F" w:rsidRDefault="000B6780" w:rsidP="00D81428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D8142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F37943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  <w:r w:rsidR="00D81428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0B6780" w:rsidRPr="00C16D5F" w:rsidRDefault="000B6780" w:rsidP="002F51B4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D81428">
              <w:rPr>
                <w:rFonts w:ascii="Times New Roman" w:eastAsia="Times New Roman" w:hAnsi="Times New Roman" w:cs="Times New Roman"/>
                <w:bCs/>
                <w:lang w:eastAsia="ru-RU"/>
              </w:rPr>
              <w:t>601,</w:t>
            </w:r>
            <w:r w:rsidR="002F51B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0B6780" w:rsidRPr="00AA0DBE" w:rsidTr="00652A30">
        <w:trPr>
          <w:trHeight w:val="630"/>
        </w:trPr>
        <w:tc>
          <w:tcPr>
            <w:tcW w:w="6252" w:type="dxa"/>
            <w:shd w:val="clear" w:color="auto" w:fill="auto"/>
            <w:vAlign w:val="center"/>
          </w:tcPr>
          <w:p w:rsidR="000B6780" w:rsidRPr="0082113D" w:rsidRDefault="000B6780" w:rsidP="007F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2113D">
              <w:rPr>
                <w:rFonts w:ascii="Times New Roman" w:hAnsi="Times New Roman" w:cs="Times New Roman"/>
                <w:i/>
              </w:rPr>
              <w:t>субсиди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82113D">
              <w:rPr>
                <w:rFonts w:ascii="Times New Roman" w:hAnsi="Times New Roman" w:cs="Times New Roman"/>
                <w:i/>
              </w:rPr>
              <w:t xml:space="preserve"> на осуществление дорожной деятельности в отношении автомобильных дорог общего пользования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6780" w:rsidRPr="0099433A" w:rsidRDefault="006C69A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163646,0</w:t>
            </w:r>
          </w:p>
        </w:tc>
        <w:tc>
          <w:tcPr>
            <w:tcW w:w="993" w:type="dxa"/>
            <w:vAlign w:val="center"/>
          </w:tcPr>
          <w:p w:rsidR="000B6780" w:rsidRPr="0099433A" w:rsidRDefault="000B6780" w:rsidP="00D81428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33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D81428">
              <w:rPr>
                <w:rFonts w:ascii="Times New Roman" w:eastAsia="Times New Roman" w:hAnsi="Times New Roman" w:cs="Times New Roman"/>
                <w:bCs/>
                <w:lang w:eastAsia="ru-RU"/>
              </w:rPr>
              <w:t>632,0</w:t>
            </w:r>
          </w:p>
        </w:tc>
        <w:tc>
          <w:tcPr>
            <w:tcW w:w="992" w:type="dxa"/>
            <w:vAlign w:val="center"/>
          </w:tcPr>
          <w:p w:rsidR="000B6780" w:rsidRPr="0099433A" w:rsidRDefault="000B6780" w:rsidP="002F51B4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33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D81428">
              <w:rPr>
                <w:rFonts w:ascii="Times New Roman" w:eastAsia="Times New Roman" w:hAnsi="Times New Roman" w:cs="Times New Roman"/>
                <w:bCs/>
                <w:lang w:eastAsia="ru-RU"/>
              </w:rPr>
              <w:t>601,</w:t>
            </w:r>
            <w:r w:rsidR="002F51B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F37943" w:rsidRPr="00AA0DBE" w:rsidTr="00652A30">
        <w:trPr>
          <w:trHeight w:val="835"/>
        </w:trPr>
        <w:tc>
          <w:tcPr>
            <w:tcW w:w="6252" w:type="dxa"/>
            <w:shd w:val="clear" w:color="auto" w:fill="auto"/>
            <w:vAlign w:val="center"/>
          </w:tcPr>
          <w:p w:rsidR="00F37943" w:rsidRPr="0082113D" w:rsidRDefault="00F37943" w:rsidP="00F37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2113D">
              <w:rPr>
                <w:rFonts w:ascii="Times New Roman" w:hAnsi="Times New Roman" w:cs="Times New Roman"/>
                <w:i/>
              </w:rPr>
              <w:t>субсиди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82113D">
              <w:rPr>
                <w:rFonts w:ascii="Times New Roman" w:hAnsi="Times New Roman" w:cs="Times New Roman"/>
                <w:i/>
              </w:rPr>
              <w:t xml:space="preserve"> на </w:t>
            </w:r>
            <w:r>
              <w:rPr>
                <w:rFonts w:ascii="Times New Roman" w:hAnsi="Times New Roman" w:cs="Times New Roman"/>
                <w:i/>
              </w:rPr>
              <w:t xml:space="preserve">капитальный ремонт, ремонт и восстановление изношенных верхних слоев асфальтобетонных покрытий </w:t>
            </w:r>
            <w:r w:rsidRPr="0082113D">
              <w:rPr>
                <w:rFonts w:ascii="Times New Roman" w:hAnsi="Times New Roman" w:cs="Times New Roman"/>
                <w:i/>
              </w:rPr>
              <w:t xml:space="preserve">автомобильных дорог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943" w:rsidRDefault="00F37943" w:rsidP="006C69A0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6C69A0">
              <w:rPr>
                <w:rFonts w:ascii="Times New Roman" w:eastAsia="Times New Roman" w:hAnsi="Times New Roman" w:cs="Times New Roman"/>
                <w:bCs/>
                <w:lang w:eastAsia="ru-RU"/>
              </w:rPr>
              <w:t>0000,0</w:t>
            </w:r>
          </w:p>
        </w:tc>
        <w:tc>
          <w:tcPr>
            <w:tcW w:w="993" w:type="dxa"/>
            <w:vAlign w:val="center"/>
          </w:tcPr>
          <w:p w:rsidR="00F37943" w:rsidRPr="0099433A" w:rsidRDefault="00DA365D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37943" w:rsidRPr="0099433A" w:rsidRDefault="00DA365D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6C69A0" w:rsidRPr="00AA0DBE" w:rsidTr="00652A30">
        <w:trPr>
          <w:trHeight w:val="487"/>
        </w:trPr>
        <w:tc>
          <w:tcPr>
            <w:tcW w:w="6252" w:type="dxa"/>
            <w:shd w:val="clear" w:color="auto" w:fill="auto"/>
            <w:vAlign w:val="center"/>
          </w:tcPr>
          <w:p w:rsidR="006C69A0" w:rsidRPr="006817DF" w:rsidRDefault="006C69A0" w:rsidP="006C69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113D">
              <w:rPr>
                <w:rFonts w:ascii="Times New Roman" w:hAnsi="Times New Roman" w:cs="Times New Roman"/>
                <w:i/>
              </w:rPr>
              <w:t>субсиди</w:t>
            </w:r>
            <w:r>
              <w:rPr>
                <w:rFonts w:ascii="Times New Roman" w:hAnsi="Times New Roman" w:cs="Times New Roman"/>
                <w:i/>
              </w:rPr>
              <w:t>я</w:t>
            </w:r>
            <w:r w:rsidRPr="0082113D">
              <w:rPr>
                <w:rFonts w:ascii="Times New Roman" w:hAnsi="Times New Roman" w:cs="Times New Roman"/>
                <w:i/>
              </w:rPr>
              <w:t xml:space="preserve"> на </w:t>
            </w:r>
            <w:r>
              <w:rPr>
                <w:rFonts w:ascii="Times New Roman" w:hAnsi="Times New Roman" w:cs="Times New Roman"/>
                <w:i/>
              </w:rPr>
              <w:t>капитальный ремонт, ремонт и содержание автомобильных дорог, отобранных по результатам опроса-голосования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69A0" w:rsidRDefault="006C69A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30677,0</w:t>
            </w:r>
          </w:p>
        </w:tc>
        <w:tc>
          <w:tcPr>
            <w:tcW w:w="993" w:type="dxa"/>
            <w:vAlign w:val="center"/>
          </w:tcPr>
          <w:p w:rsidR="006C69A0" w:rsidRDefault="006C69A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C69A0" w:rsidRDefault="006C69A0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37943" w:rsidRPr="00AA0DBE" w:rsidTr="00652A30">
        <w:trPr>
          <w:trHeight w:val="487"/>
        </w:trPr>
        <w:tc>
          <w:tcPr>
            <w:tcW w:w="6252" w:type="dxa"/>
            <w:shd w:val="clear" w:color="auto" w:fill="auto"/>
            <w:vAlign w:val="center"/>
          </w:tcPr>
          <w:p w:rsidR="00F37943" w:rsidRPr="00C16D5F" w:rsidRDefault="00F37943" w:rsidP="005455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7DF">
              <w:rPr>
                <w:rFonts w:ascii="Times New Roman" w:eastAsia="Times New Roman" w:hAnsi="Times New Roman" w:cs="Times New Roman"/>
                <w:bCs/>
                <w:lang w:eastAsia="ru-RU"/>
              </w:rPr>
              <w:t>Инициативные платежи,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817DF">
              <w:rPr>
                <w:rFonts w:ascii="Times New Roman" w:eastAsia="Times New Roman" w:hAnsi="Times New Roman" w:cs="Times New Roman"/>
                <w:bCs/>
                <w:lang w:eastAsia="ru-RU"/>
              </w:rPr>
              <w:t>зачисляемые в бюджеты городских округов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943" w:rsidRPr="0099433A" w:rsidRDefault="006B4337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3386,1</w:t>
            </w:r>
          </w:p>
        </w:tc>
        <w:tc>
          <w:tcPr>
            <w:tcW w:w="993" w:type="dxa"/>
            <w:vAlign w:val="center"/>
          </w:tcPr>
          <w:p w:rsidR="00F37943" w:rsidRPr="00C16D5F" w:rsidRDefault="00F37943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37943" w:rsidRPr="00C16D5F" w:rsidRDefault="00F37943" w:rsidP="005455B9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</w:tr>
      <w:tr w:rsidR="00F37943" w:rsidRPr="00AA0DBE" w:rsidTr="00652A30">
        <w:trPr>
          <w:trHeight w:val="70"/>
        </w:trPr>
        <w:tc>
          <w:tcPr>
            <w:tcW w:w="6252" w:type="dxa"/>
            <w:shd w:val="clear" w:color="auto" w:fill="auto"/>
            <w:vAlign w:val="center"/>
          </w:tcPr>
          <w:p w:rsidR="00F37943" w:rsidRPr="00C16D5F" w:rsidRDefault="00F37943" w:rsidP="0054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6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943" w:rsidRPr="00C16D5F" w:rsidRDefault="006459BE" w:rsidP="005455B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C69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4173,1</w:t>
            </w:r>
          </w:p>
        </w:tc>
        <w:tc>
          <w:tcPr>
            <w:tcW w:w="993" w:type="dxa"/>
          </w:tcPr>
          <w:p w:rsidR="00F37943" w:rsidRPr="006459BE" w:rsidRDefault="006459BE" w:rsidP="005455B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9BE">
              <w:rPr>
                <w:rFonts w:ascii="Times New Roman" w:hAnsi="Times New Roman" w:cs="Times New Roman"/>
                <w:b/>
                <w:sz w:val="24"/>
                <w:szCs w:val="24"/>
              </w:rPr>
              <w:t>25551,5</w:t>
            </w:r>
          </w:p>
        </w:tc>
        <w:tc>
          <w:tcPr>
            <w:tcW w:w="992" w:type="dxa"/>
          </w:tcPr>
          <w:p w:rsidR="00F37943" w:rsidRPr="006459BE" w:rsidRDefault="006459BE" w:rsidP="002F51B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9BE">
              <w:rPr>
                <w:rFonts w:ascii="Times New Roman" w:hAnsi="Times New Roman" w:cs="Times New Roman"/>
                <w:b/>
                <w:sz w:val="24"/>
                <w:szCs w:val="24"/>
              </w:rPr>
              <w:t>20222,8</w:t>
            </w:r>
          </w:p>
        </w:tc>
      </w:tr>
    </w:tbl>
    <w:p w:rsidR="00E0043E" w:rsidRDefault="005455B9" w:rsidP="002F51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55B9" w:rsidRDefault="00E0043E" w:rsidP="002F51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55B9" w:rsidRPr="00362232">
        <w:rPr>
          <w:rFonts w:ascii="Times New Roman" w:eastAsia="Times New Roman" w:hAnsi="Times New Roman" w:cs="Times New Roman"/>
          <w:sz w:val="28"/>
          <w:szCs w:val="28"/>
        </w:rPr>
        <w:t xml:space="preserve">Основным источником формирования </w:t>
      </w:r>
      <w:r w:rsidR="00115B2A">
        <w:rPr>
          <w:rFonts w:ascii="Times New Roman" w:eastAsia="Times New Roman" w:hAnsi="Times New Roman" w:cs="Times New Roman"/>
          <w:sz w:val="28"/>
          <w:szCs w:val="28"/>
        </w:rPr>
        <w:t xml:space="preserve">ассигнований муниципального </w:t>
      </w:r>
      <w:r w:rsidR="005455B9">
        <w:rPr>
          <w:rFonts w:ascii="Times New Roman" w:eastAsia="Times New Roman" w:hAnsi="Times New Roman" w:cs="Times New Roman"/>
          <w:sz w:val="28"/>
          <w:szCs w:val="28"/>
        </w:rPr>
        <w:t xml:space="preserve">дорожного </w:t>
      </w:r>
      <w:r w:rsidR="005455B9" w:rsidRPr="00362232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5455B9" w:rsidRPr="006E1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5B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B321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4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5B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8B438F">
        <w:rPr>
          <w:rFonts w:ascii="Times New Roman" w:eastAsia="Times New Roman" w:hAnsi="Times New Roman" w:cs="Times New Roman"/>
          <w:sz w:val="28"/>
          <w:szCs w:val="28"/>
        </w:rPr>
        <w:t>, как и в предыдущие годы,</w:t>
      </w:r>
      <w:r w:rsidR="005455B9">
        <w:rPr>
          <w:rFonts w:ascii="Times New Roman" w:eastAsia="Times New Roman" w:hAnsi="Times New Roman" w:cs="Times New Roman"/>
          <w:sz w:val="28"/>
          <w:szCs w:val="28"/>
        </w:rPr>
        <w:t xml:space="preserve"> являются межбюджетные трансферты</w:t>
      </w:r>
      <w:r w:rsidR="008B43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55B9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8B438F">
        <w:rPr>
          <w:rFonts w:ascii="Times New Roman" w:eastAsia="Times New Roman" w:hAnsi="Times New Roman" w:cs="Times New Roman"/>
          <w:sz w:val="28"/>
          <w:szCs w:val="28"/>
        </w:rPr>
        <w:t xml:space="preserve"> которых составит </w:t>
      </w:r>
      <w:r w:rsidR="00AB321E">
        <w:rPr>
          <w:rFonts w:ascii="Times New Roman" w:eastAsia="Times New Roman" w:hAnsi="Times New Roman" w:cs="Times New Roman"/>
          <w:sz w:val="28"/>
          <w:szCs w:val="28"/>
        </w:rPr>
        <w:t>224323,0 тыс.</w:t>
      </w:r>
      <w:r w:rsidR="005455B9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F66E1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45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21E">
        <w:rPr>
          <w:rFonts w:ascii="Times New Roman" w:eastAsia="Times New Roman" w:hAnsi="Times New Roman" w:cs="Times New Roman"/>
          <w:sz w:val="28"/>
          <w:szCs w:val="28"/>
        </w:rPr>
        <w:t>91,9</w:t>
      </w:r>
      <w:r w:rsidR="005455B9">
        <w:rPr>
          <w:rFonts w:ascii="Times New Roman" w:eastAsia="Times New Roman" w:hAnsi="Times New Roman" w:cs="Times New Roman"/>
          <w:sz w:val="28"/>
          <w:szCs w:val="28"/>
        </w:rPr>
        <w:t xml:space="preserve">% ассигнований муниципального дорожного фонда. </w:t>
      </w:r>
    </w:p>
    <w:p w:rsidR="001E76C1" w:rsidRPr="00750AA9" w:rsidRDefault="005455B9" w:rsidP="001E76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F56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202</w:t>
      </w:r>
      <w:r w:rsidR="004F56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</w:t>
      </w:r>
      <w:r>
        <w:rPr>
          <w:rFonts w:ascii="Times New Roman" w:eastAsia="Times New Roman" w:hAnsi="Times New Roman" w:cs="Times New Roman"/>
          <w:sz w:val="28"/>
          <w:szCs w:val="28"/>
        </w:rPr>
        <w:t>субсидии на осуществление дорожной деятельности за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51821">
        <w:rPr>
          <w:rFonts w:ascii="Times New Roman" w:eastAsia="Times New Roman" w:hAnsi="Times New Roman" w:cs="Times New Roman"/>
          <w:sz w:val="28"/>
          <w:szCs w:val="28"/>
          <w:lang w:eastAsia="ru-RU"/>
        </w:rPr>
        <w:t>153875</w:t>
      </w:r>
      <w:r w:rsidR="000F19F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или в </w:t>
      </w:r>
      <w:r w:rsidR="000F19F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351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позволит </w:t>
      </w:r>
      <w:r w:rsidR="001E76C1" w:rsidRPr="0013366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отремонтирова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ть большую </w:t>
      </w:r>
      <w:r w:rsidR="001E76C1" w:rsidRPr="001336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протяженност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1E76C1" w:rsidRPr="00133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автомобильных дорог</w:t>
      </w:r>
      <w:r w:rsidR="00F66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5206">
        <w:rPr>
          <w:rFonts w:ascii="Times New Roman" w:eastAsia="Times New Roman" w:hAnsi="Times New Roman" w:cs="Times New Roman"/>
          <w:sz w:val="28"/>
          <w:szCs w:val="28"/>
          <w:lang w:eastAsia="ar-SA"/>
        </w:rPr>
        <w:t>и тротуаров</w:t>
      </w:r>
      <w:r w:rsidR="001E76C1" w:rsidRPr="00133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городе.</w:t>
      </w:r>
      <w:r w:rsidR="001E76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93CD9" w:rsidRDefault="005455B9" w:rsidP="005455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</w:t>
      </w:r>
      <w:r w:rsidR="00B85C81"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</w:t>
      </w:r>
      <w:r w:rsidR="00A93C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часть</w:t>
      </w:r>
      <w:r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доходов, получаемых в виде </w:t>
      </w:r>
      <w:r w:rsidR="001E76C1"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 за земельные участки</w:t>
      </w:r>
      <w:r w:rsidR="00A93CD9" w:rsidRPr="00A9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CD9"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93CD9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A93CD9"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A93CD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93CD9"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</w:t>
      </w:r>
      <w:r w:rsidR="00A9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формирования </w:t>
      </w:r>
      <w:r w:rsidR="00115B2A"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</w:t>
      </w:r>
      <w:r w:rsidR="00A9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фонда. </w:t>
      </w:r>
    </w:p>
    <w:p w:rsidR="005455B9" w:rsidRPr="00B85C81" w:rsidRDefault="00A93CD9" w:rsidP="005455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55B9"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 w:rsid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55B9"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дорожного фонда </w:t>
      </w:r>
      <w:r w:rsid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дополнены</w:t>
      </w:r>
      <w:r w:rsidR="005455B9"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455B9" w:rsidRPr="00B8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455B9" w:rsidRPr="00B8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продажи земельных участков, государственная собственность на которые не разграничена (</w:t>
      </w:r>
      <w:r w:rsidR="00B8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6,2%</w:t>
      </w:r>
      <w:r w:rsidR="005455B9" w:rsidRPr="00B8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B85C81" w:rsidRDefault="005455B9" w:rsidP="00E2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355F" w:rsidRDefault="00E2355F" w:rsidP="00B85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DBE">
        <w:rPr>
          <w:rFonts w:ascii="Times New Roman" w:hAnsi="Times New Roman" w:cs="Times New Roman"/>
          <w:sz w:val="28"/>
          <w:szCs w:val="28"/>
        </w:rPr>
        <w:t>Распределение бюджетных ассигнований муниципального дорожного фонда на 202</w:t>
      </w:r>
      <w:r w:rsidR="004F56B7">
        <w:rPr>
          <w:rFonts w:ascii="Times New Roman" w:hAnsi="Times New Roman" w:cs="Times New Roman"/>
          <w:sz w:val="28"/>
          <w:szCs w:val="28"/>
        </w:rPr>
        <w:t>5</w:t>
      </w:r>
      <w:r w:rsidRPr="00AA0DBE">
        <w:rPr>
          <w:rFonts w:ascii="Times New Roman" w:hAnsi="Times New Roman" w:cs="Times New Roman"/>
          <w:sz w:val="28"/>
          <w:szCs w:val="28"/>
        </w:rPr>
        <w:t>-202</w:t>
      </w:r>
      <w:r w:rsidR="004F56B7">
        <w:rPr>
          <w:rFonts w:ascii="Times New Roman" w:hAnsi="Times New Roman" w:cs="Times New Roman"/>
          <w:sz w:val="28"/>
          <w:szCs w:val="28"/>
        </w:rPr>
        <w:t>7</w:t>
      </w:r>
      <w:r w:rsidRPr="00AA0DBE">
        <w:rPr>
          <w:rFonts w:ascii="Times New Roman" w:hAnsi="Times New Roman" w:cs="Times New Roman"/>
          <w:sz w:val="28"/>
          <w:szCs w:val="28"/>
        </w:rPr>
        <w:t xml:space="preserve"> годы приведено в таблице (тыс.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DBE">
        <w:rPr>
          <w:rFonts w:ascii="Times New Roman" w:hAnsi="Times New Roman" w:cs="Times New Roman"/>
          <w:sz w:val="28"/>
          <w:szCs w:val="28"/>
        </w:rPr>
        <w:t>руб.):</w:t>
      </w:r>
    </w:p>
    <w:p w:rsidR="00E2355F" w:rsidRPr="002C1BDB" w:rsidRDefault="00E2355F" w:rsidP="00E235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134"/>
        <w:gridCol w:w="1134"/>
        <w:gridCol w:w="1134"/>
      </w:tblGrid>
      <w:tr w:rsidR="00E2355F" w:rsidRPr="006F635B" w:rsidTr="00E2355F">
        <w:trPr>
          <w:trHeight w:val="142"/>
        </w:trPr>
        <w:tc>
          <w:tcPr>
            <w:tcW w:w="595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D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ED673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D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ED673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D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ED673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E2355F" w:rsidRPr="006F635B" w:rsidTr="00E2355F">
        <w:trPr>
          <w:trHeight w:val="53"/>
        </w:trPr>
        <w:tc>
          <w:tcPr>
            <w:tcW w:w="5954" w:type="dxa"/>
          </w:tcPr>
          <w:p w:rsidR="00E2355F" w:rsidRPr="000F6D90" w:rsidRDefault="00C70D45" w:rsidP="00E235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E2355F" w:rsidRPr="000F6D9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в границах муниципального образования</w:t>
            </w:r>
          </w:p>
        </w:tc>
        <w:tc>
          <w:tcPr>
            <w:tcW w:w="1134" w:type="dxa"/>
            <w:vAlign w:val="center"/>
          </w:tcPr>
          <w:p w:rsidR="00E2355F" w:rsidRPr="00381F2C" w:rsidRDefault="002B6967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17651,0</w:t>
            </w:r>
          </w:p>
        </w:tc>
        <w:tc>
          <w:tcPr>
            <w:tcW w:w="1134" w:type="dxa"/>
            <w:vAlign w:val="center"/>
          </w:tcPr>
          <w:p w:rsidR="00E2355F" w:rsidRPr="00381F2C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11753,3</w:t>
            </w:r>
          </w:p>
        </w:tc>
        <w:tc>
          <w:tcPr>
            <w:tcW w:w="1134" w:type="dxa"/>
            <w:vAlign w:val="center"/>
          </w:tcPr>
          <w:p w:rsidR="00E2355F" w:rsidRPr="00381F2C" w:rsidRDefault="002B6967" w:rsidP="00A2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9724,6</w:t>
            </w:r>
          </w:p>
        </w:tc>
      </w:tr>
      <w:tr w:rsidR="00E2355F" w:rsidRPr="006F635B" w:rsidTr="00E2355F">
        <w:trPr>
          <w:trHeight w:val="307"/>
        </w:trPr>
        <w:tc>
          <w:tcPr>
            <w:tcW w:w="5954" w:type="dxa"/>
          </w:tcPr>
          <w:p w:rsidR="00E2355F" w:rsidRPr="000F6D90" w:rsidRDefault="00C70D45" w:rsidP="00E235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F66E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355F" w:rsidRPr="000F6D90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  <w:r w:rsidR="00D56D3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</w:p>
        </w:tc>
        <w:tc>
          <w:tcPr>
            <w:tcW w:w="1134" w:type="dxa"/>
            <w:vAlign w:val="center"/>
          </w:tcPr>
          <w:p w:rsidR="00E2355F" w:rsidRPr="00657B71" w:rsidRDefault="002B6967" w:rsidP="004F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4F56B7">
              <w:rPr>
                <w:rFonts w:ascii="Times New Roman" w:eastAsia="Times New Roman" w:hAnsi="Times New Roman" w:cs="Times New Roman"/>
                <w:lang w:eastAsia="ru-RU"/>
              </w:rPr>
              <w:t>6518,9</w:t>
            </w:r>
          </w:p>
        </w:tc>
        <w:tc>
          <w:tcPr>
            <w:tcW w:w="1134" w:type="dxa"/>
            <w:vAlign w:val="center"/>
          </w:tcPr>
          <w:p w:rsidR="00E2355F" w:rsidRPr="00657B71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8998,2</w:t>
            </w:r>
          </w:p>
        </w:tc>
        <w:tc>
          <w:tcPr>
            <w:tcW w:w="1134" w:type="dxa"/>
            <w:vAlign w:val="center"/>
          </w:tcPr>
          <w:p w:rsidR="00E2355F" w:rsidRPr="00657B71" w:rsidRDefault="00B32FFB" w:rsidP="00A2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8998,2</w:t>
            </w:r>
          </w:p>
        </w:tc>
      </w:tr>
      <w:tr w:rsidR="00E2355F" w:rsidRPr="006F635B" w:rsidTr="00E2355F">
        <w:trPr>
          <w:trHeight w:val="314"/>
        </w:trPr>
        <w:tc>
          <w:tcPr>
            <w:tcW w:w="5954" w:type="dxa"/>
          </w:tcPr>
          <w:p w:rsidR="00E2355F" w:rsidRPr="000F6D90" w:rsidRDefault="00E2355F" w:rsidP="00B32FF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 улице </w:t>
            </w:r>
            <w:r w:rsidR="00B32FFB">
              <w:rPr>
                <w:rFonts w:ascii="Times New Roman" w:eastAsia="Times New Roman" w:hAnsi="Times New Roman" w:cs="Times New Roman"/>
                <w:lang w:eastAsia="ru-RU"/>
              </w:rPr>
              <w:t>Трещева</w:t>
            </w:r>
          </w:p>
        </w:tc>
        <w:tc>
          <w:tcPr>
            <w:tcW w:w="1134" w:type="dxa"/>
            <w:vAlign w:val="center"/>
          </w:tcPr>
          <w:p w:rsidR="00E2355F" w:rsidRPr="007C0B61" w:rsidRDefault="00B32FFB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55F" w:rsidRPr="006F635B" w:rsidTr="00E2355F">
        <w:trPr>
          <w:trHeight w:val="314"/>
        </w:trPr>
        <w:tc>
          <w:tcPr>
            <w:tcW w:w="5954" w:type="dxa"/>
          </w:tcPr>
          <w:p w:rsidR="00E2355F" w:rsidRPr="000F6D90" w:rsidRDefault="00E2355F" w:rsidP="00B32FF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32FFB">
              <w:rPr>
                <w:rFonts w:ascii="Times New Roman" w:eastAsia="Times New Roman" w:hAnsi="Times New Roman" w:cs="Times New Roman"/>
                <w:lang w:eastAsia="ru-RU"/>
              </w:rPr>
              <w:t>по улице Некрасова</w:t>
            </w:r>
          </w:p>
        </w:tc>
        <w:tc>
          <w:tcPr>
            <w:tcW w:w="1134" w:type="dxa"/>
            <w:vAlign w:val="center"/>
          </w:tcPr>
          <w:p w:rsidR="00E2355F" w:rsidRPr="007C0B61" w:rsidRDefault="00B32FFB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17000,0</w:t>
            </w: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55F" w:rsidRPr="006F635B" w:rsidTr="00E2355F">
        <w:trPr>
          <w:trHeight w:val="314"/>
        </w:trPr>
        <w:tc>
          <w:tcPr>
            <w:tcW w:w="5954" w:type="dxa"/>
          </w:tcPr>
          <w:p w:rsidR="00E2355F" w:rsidRPr="000F6D90" w:rsidRDefault="00E2355F" w:rsidP="00B32FF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32FFB">
              <w:rPr>
                <w:rFonts w:ascii="Times New Roman" w:eastAsia="Times New Roman" w:hAnsi="Times New Roman" w:cs="Times New Roman"/>
                <w:lang w:eastAsia="ru-RU"/>
              </w:rPr>
              <w:t>по улице Первомайской</w:t>
            </w:r>
          </w:p>
        </w:tc>
        <w:tc>
          <w:tcPr>
            <w:tcW w:w="1134" w:type="dxa"/>
            <w:vAlign w:val="center"/>
          </w:tcPr>
          <w:p w:rsidR="00E2355F" w:rsidRPr="007C0B61" w:rsidRDefault="00B32FFB" w:rsidP="00D6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  <w:r w:rsidR="00D65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5F" w:rsidRPr="007C0B61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0FD" w:rsidRPr="006F635B" w:rsidTr="00E2355F">
        <w:trPr>
          <w:trHeight w:val="314"/>
        </w:trPr>
        <w:tc>
          <w:tcPr>
            <w:tcW w:w="5954" w:type="dxa"/>
          </w:tcPr>
          <w:p w:rsidR="00A220FD" w:rsidRDefault="00A220FD" w:rsidP="00A220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 улице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Тойменка</w:t>
            </w:r>
            <w:proofErr w:type="spellEnd"/>
          </w:p>
        </w:tc>
        <w:tc>
          <w:tcPr>
            <w:tcW w:w="1134" w:type="dxa"/>
            <w:vAlign w:val="center"/>
          </w:tcPr>
          <w:p w:rsidR="00A220FD" w:rsidRDefault="00B32FFB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30157,2</w:t>
            </w:r>
          </w:p>
        </w:tc>
        <w:tc>
          <w:tcPr>
            <w:tcW w:w="1134" w:type="dxa"/>
            <w:vAlign w:val="center"/>
          </w:tcPr>
          <w:p w:rsidR="00A220FD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220FD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20FD" w:rsidRPr="006F635B" w:rsidTr="00E2355F">
        <w:trPr>
          <w:trHeight w:val="314"/>
        </w:trPr>
        <w:tc>
          <w:tcPr>
            <w:tcW w:w="5954" w:type="dxa"/>
          </w:tcPr>
          <w:p w:rsidR="00A220FD" w:rsidRDefault="00A220FD" w:rsidP="002B696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 улице </w:t>
            </w:r>
            <w:r w:rsidR="002B6967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134" w:type="dxa"/>
            <w:vAlign w:val="center"/>
          </w:tcPr>
          <w:p w:rsidR="00A220FD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220FD" w:rsidRPr="007C0B61" w:rsidRDefault="00A220FD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8998,</w:t>
            </w:r>
            <w:r w:rsidR="002B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220FD" w:rsidRPr="007C0B61" w:rsidRDefault="002B6967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8998,2</w:t>
            </w:r>
          </w:p>
        </w:tc>
      </w:tr>
      <w:tr w:rsidR="00A220FD" w:rsidRPr="006F635B" w:rsidTr="00E2355F">
        <w:trPr>
          <w:trHeight w:val="314"/>
        </w:trPr>
        <w:tc>
          <w:tcPr>
            <w:tcW w:w="5954" w:type="dxa"/>
          </w:tcPr>
          <w:p w:rsidR="00A220FD" w:rsidRDefault="00A220FD" w:rsidP="00A220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 улице Урицкого</w:t>
            </w:r>
            <w:r w:rsidR="00B32FFB">
              <w:rPr>
                <w:rFonts w:ascii="Times New Roman" w:eastAsia="Times New Roman" w:hAnsi="Times New Roman" w:cs="Times New Roman"/>
                <w:lang w:eastAsia="ru-RU"/>
              </w:rPr>
              <w:t xml:space="preserve"> (с тротуарами)</w:t>
            </w:r>
          </w:p>
        </w:tc>
        <w:tc>
          <w:tcPr>
            <w:tcW w:w="1134" w:type="dxa"/>
            <w:vAlign w:val="center"/>
          </w:tcPr>
          <w:p w:rsidR="00A220FD" w:rsidRDefault="00B32FFB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63291,4</w:t>
            </w:r>
          </w:p>
        </w:tc>
        <w:tc>
          <w:tcPr>
            <w:tcW w:w="1134" w:type="dxa"/>
            <w:vAlign w:val="center"/>
          </w:tcPr>
          <w:p w:rsidR="00A220FD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220FD" w:rsidRPr="007C0B61" w:rsidRDefault="00A220FD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FFB" w:rsidRPr="006F635B" w:rsidTr="00E2355F">
        <w:trPr>
          <w:trHeight w:val="314"/>
        </w:trPr>
        <w:tc>
          <w:tcPr>
            <w:tcW w:w="5954" w:type="dxa"/>
          </w:tcPr>
          <w:p w:rsidR="00B32FFB" w:rsidRDefault="00B32FFB" w:rsidP="00A220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 улице Гагарина (с тротуарами)</w:t>
            </w:r>
          </w:p>
        </w:tc>
        <w:tc>
          <w:tcPr>
            <w:tcW w:w="1134" w:type="dxa"/>
            <w:vAlign w:val="center"/>
          </w:tcPr>
          <w:p w:rsidR="00B32FFB" w:rsidRDefault="00B32FFB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43054,6</w:t>
            </w:r>
          </w:p>
        </w:tc>
        <w:tc>
          <w:tcPr>
            <w:tcW w:w="1134" w:type="dxa"/>
            <w:vAlign w:val="center"/>
          </w:tcPr>
          <w:p w:rsidR="00B32FFB" w:rsidRPr="007C0B61" w:rsidRDefault="00B32FFB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2FFB" w:rsidRPr="007C0B61" w:rsidRDefault="00B32FFB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FFB" w:rsidRPr="006F635B" w:rsidTr="00E2355F">
        <w:trPr>
          <w:trHeight w:val="314"/>
        </w:trPr>
        <w:tc>
          <w:tcPr>
            <w:tcW w:w="5954" w:type="dxa"/>
          </w:tcPr>
          <w:p w:rsidR="00B32FFB" w:rsidRDefault="00B32FFB" w:rsidP="00A220F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автомобильная дорога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Вятские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Поляны-аэропорт</w:t>
            </w:r>
            <w:proofErr w:type="spellEnd"/>
          </w:p>
        </w:tc>
        <w:tc>
          <w:tcPr>
            <w:tcW w:w="1134" w:type="dxa"/>
            <w:vAlign w:val="center"/>
          </w:tcPr>
          <w:p w:rsidR="00B32FFB" w:rsidRDefault="00B32FFB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40308,6</w:t>
            </w:r>
          </w:p>
        </w:tc>
        <w:tc>
          <w:tcPr>
            <w:tcW w:w="1134" w:type="dxa"/>
            <w:vAlign w:val="center"/>
          </w:tcPr>
          <w:p w:rsidR="00B32FFB" w:rsidRPr="007C0B61" w:rsidRDefault="00B32FFB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2FFB" w:rsidRPr="007C0B61" w:rsidRDefault="00B32FFB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55F" w:rsidRPr="006F635B" w:rsidTr="00E2355F">
        <w:trPr>
          <w:trHeight w:val="314"/>
        </w:trPr>
        <w:tc>
          <w:tcPr>
            <w:tcW w:w="5954" w:type="dxa"/>
          </w:tcPr>
          <w:p w:rsidR="00E2355F" w:rsidRPr="000F6D90" w:rsidRDefault="00C70D45" w:rsidP="004F56B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F56B7">
              <w:rPr>
                <w:rFonts w:ascii="Times New Roman" w:eastAsia="Times New Roman" w:hAnsi="Times New Roman" w:cs="Times New Roman"/>
                <w:lang w:eastAsia="ru-RU"/>
              </w:rPr>
              <w:t>по улице Кукина</w:t>
            </w:r>
          </w:p>
        </w:tc>
        <w:tc>
          <w:tcPr>
            <w:tcW w:w="1134" w:type="dxa"/>
            <w:vAlign w:val="center"/>
          </w:tcPr>
          <w:p w:rsidR="00E2355F" w:rsidRPr="00C70D45" w:rsidRDefault="004F56B7" w:rsidP="004F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2355F" w:rsidRPr="00C7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D45" w:rsidRPr="006F635B" w:rsidTr="00E2355F">
        <w:trPr>
          <w:trHeight w:val="314"/>
        </w:trPr>
        <w:tc>
          <w:tcPr>
            <w:tcW w:w="5954" w:type="dxa"/>
          </w:tcPr>
          <w:p w:rsidR="00C70D45" w:rsidRDefault="004F56B7" w:rsidP="00C70D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 улице Азина</w:t>
            </w:r>
          </w:p>
        </w:tc>
        <w:tc>
          <w:tcPr>
            <w:tcW w:w="1134" w:type="dxa"/>
            <w:vAlign w:val="center"/>
          </w:tcPr>
          <w:p w:rsidR="00C70D45" w:rsidRPr="00C70D45" w:rsidRDefault="004F56B7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6999,4</w:t>
            </w:r>
          </w:p>
        </w:tc>
        <w:tc>
          <w:tcPr>
            <w:tcW w:w="1134" w:type="dxa"/>
            <w:vAlign w:val="center"/>
          </w:tcPr>
          <w:p w:rsidR="00C70D45" w:rsidRPr="000F6D90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70D45" w:rsidRPr="000F6D90" w:rsidRDefault="00C70D45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55F" w:rsidRPr="006F635B" w:rsidTr="00E2355F">
        <w:trPr>
          <w:trHeight w:val="139"/>
        </w:trPr>
        <w:tc>
          <w:tcPr>
            <w:tcW w:w="5954" w:type="dxa"/>
          </w:tcPr>
          <w:p w:rsidR="00E2355F" w:rsidRPr="000F6D90" w:rsidRDefault="00C70D45" w:rsidP="00D56D3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D652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>Ремонт асфальтобетонного покрытия</w:t>
            </w:r>
            <w:r w:rsidR="00D56D33">
              <w:rPr>
                <w:rFonts w:ascii="Times New Roman" w:eastAsia="Times New Roman" w:hAnsi="Times New Roman" w:cs="Times New Roman"/>
                <w:lang w:eastAsia="ru-RU"/>
              </w:rPr>
              <w:t xml:space="preserve"> дворовых территорий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 xml:space="preserve"> и пешеходн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 xml:space="preserve"> дорож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>к (в рамках ППМИ)</w:t>
            </w:r>
          </w:p>
        </w:tc>
        <w:tc>
          <w:tcPr>
            <w:tcW w:w="1134" w:type="dxa"/>
            <w:vAlign w:val="center"/>
          </w:tcPr>
          <w:p w:rsidR="00E2355F" w:rsidRPr="000F6D90" w:rsidRDefault="002B6967" w:rsidP="00C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7953,2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355F" w:rsidRPr="006F635B" w:rsidTr="00E2355F">
        <w:trPr>
          <w:trHeight w:val="139"/>
        </w:trPr>
        <w:tc>
          <w:tcPr>
            <w:tcW w:w="5954" w:type="dxa"/>
          </w:tcPr>
          <w:p w:rsidR="00E2355F" w:rsidRDefault="00C70D45" w:rsidP="00E235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Устранение деформаций (ямочный ремонт)</w:t>
            </w:r>
          </w:p>
        </w:tc>
        <w:tc>
          <w:tcPr>
            <w:tcW w:w="1134" w:type="dxa"/>
            <w:vAlign w:val="center"/>
          </w:tcPr>
          <w:p w:rsidR="00E2355F" w:rsidRDefault="002B6967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134" w:type="dxa"/>
            <w:vAlign w:val="center"/>
          </w:tcPr>
          <w:p w:rsidR="00E2355F" w:rsidRPr="000F6D90" w:rsidRDefault="002B6967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134" w:type="dxa"/>
            <w:vAlign w:val="center"/>
          </w:tcPr>
          <w:p w:rsidR="00E2355F" w:rsidRPr="000F6D90" w:rsidRDefault="002B6967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E2355F" w:rsidRPr="006F635B" w:rsidTr="00E2355F">
        <w:trPr>
          <w:trHeight w:val="139"/>
        </w:trPr>
        <w:tc>
          <w:tcPr>
            <w:tcW w:w="5954" w:type="dxa"/>
          </w:tcPr>
          <w:p w:rsidR="00E2355F" w:rsidRDefault="00C70D45" w:rsidP="00E235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E2355F" w:rsidRPr="000F6D90">
              <w:rPr>
                <w:rFonts w:ascii="Times New Roman" w:eastAsia="Times New Roman" w:hAnsi="Times New Roman" w:cs="Times New Roman"/>
                <w:lang w:eastAsia="ru-RU"/>
              </w:rPr>
              <w:t>Установка дорожных знаков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ограждений</w:t>
            </w:r>
          </w:p>
        </w:tc>
        <w:tc>
          <w:tcPr>
            <w:tcW w:w="1134" w:type="dxa"/>
            <w:vAlign w:val="center"/>
          </w:tcPr>
          <w:p w:rsidR="00E2355F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vAlign w:val="center"/>
          </w:tcPr>
          <w:p w:rsidR="00E2355F" w:rsidRPr="000F6D90" w:rsidRDefault="002B6967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2355F" w:rsidRPr="000F6D90" w:rsidRDefault="002B6967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2355F" w:rsidRPr="006F635B" w:rsidTr="00E2355F">
        <w:trPr>
          <w:trHeight w:val="283"/>
        </w:trPr>
        <w:tc>
          <w:tcPr>
            <w:tcW w:w="5954" w:type="dxa"/>
          </w:tcPr>
          <w:p w:rsidR="00E2355F" w:rsidRPr="00381F2C" w:rsidRDefault="00C70D45" w:rsidP="002B6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E2355F" w:rsidRPr="00381F2C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</w:t>
            </w:r>
            <w:r w:rsidR="00E235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6967">
              <w:rPr>
                <w:rFonts w:ascii="Times New Roman" w:eastAsia="Times New Roman" w:hAnsi="Times New Roman" w:cs="Times New Roman"/>
                <w:lang w:eastAsia="ru-RU"/>
              </w:rPr>
              <w:t>на ремонт ливневой канализации в районе музыкальной школы</w:t>
            </w:r>
          </w:p>
        </w:tc>
        <w:tc>
          <w:tcPr>
            <w:tcW w:w="1134" w:type="dxa"/>
            <w:vAlign w:val="center"/>
          </w:tcPr>
          <w:p w:rsidR="00E2355F" w:rsidRPr="00381F2C" w:rsidRDefault="00C70D45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B696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2355F" w:rsidRPr="00381F2C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134" w:type="dxa"/>
            <w:vAlign w:val="center"/>
          </w:tcPr>
          <w:p w:rsidR="00E2355F" w:rsidRPr="00381F2C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2355F" w:rsidRPr="00381F2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2B6967" w:rsidRPr="006F635B" w:rsidTr="00E2355F">
        <w:trPr>
          <w:trHeight w:val="283"/>
        </w:trPr>
        <w:tc>
          <w:tcPr>
            <w:tcW w:w="5954" w:type="dxa"/>
          </w:tcPr>
          <w:p w:rsidR="002B6967" w:rsidRDefault="002B6967" w:rsidP="002B6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Обследование мостов</w:t>
            </w:r>
          </w:p>
        </w:tc>
        <w:tc>
          <w:tcPr>
            <w:tcW w:w="1134" w:type="dxa"/>
            <w:vAlign w:val="center"/>
          </w:tcPr>
          <w:p w:rsidR="002B6967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vAlign w:val="center"/>
          </w:tcPr>
          <w:p w:rsidR="002B6967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134" w:type="dxa"/>
            <w:vAlign w:val="center"/>
          </w:tcPr>
          <w:p w:rsidR="002B6967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6967" w:rsidRPr="006F635B" w:rsidTr="00E2355F">
        <w:trPr>
          <w:trHeight w:val="283"/>
        </w:trPr>
        <w:tc>
          <w:tcPr>
            <w:tcW w:w="5954" w:type="dxa"/>
          </w:tcPr>
          <w:p w:rsidR="002B6967" w:rsidRDefault="002B6967" w:rsidP="00D6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="00D65206">
              <w:rPr>
                <w:rFonts w:ascii="Times New Roman" w:eastAsia="Times New Roman" w:hAnsi="Times New Roman" w:cs="Times New Roman"/>
                <w:lang w:eastAsia="ru-RU"/>
              </w:rPr>
              <w:t>Экспертиза ПСД по ремонту дорог с целью определения ее достоверности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смет</w:t>
            </w:r>
            <w:r w:rsidR="00D65206">
              <w:rPr>
                <w:rFonts w:ascii="Times New Roman" w:eastAsia="Times New Roman" w:hAnsi="Times New Roman" w:cs="Times New Roman"/>
                <w:lang w:eastAsia="ru-RU"/>
              </w:rPr>
              <w:t>ной стоимости</w:t>
            </w:r>
          </w:p>
        </w:tc>
        <w:tc>
          <w:tcPr>
            <w:tcW w:w="1134" w:type="dxa"/>
            <w:vAlign w:val="center"/>
          </w:tcPr>
          <w:p w:rsidR="002B6967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2B6967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vAlign w:val="center"/>
          </w:tcPr>
          <w:p w:rsidR="002B6967" w:rsidRDefault="002B6967" w:rsidP="002B6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2355F" w:rsidRPr="006F635B" w:rsidTr="00E2355F">
        <w:trPr>
          <w:trHeight w:val="146"/>
        </w:trPr>
        <w:tc>
          <w:tcPr>
            <w:tcW w:w="5954" w:type="dxa"/>
          </w:tcPr>
          <w:p w:rsidR="00E2355F" w:rsidRPr="000F6D90" w:rsidRDefault="00E2355F" w:rsidP="00E2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6D9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2355F" w:rsidRPr="00C16D5F" w:rsidRDefault="004F56B7" w:rsidP="00E2355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244173,1</w:t>
            </w:r>
          </w:p>
        </w:tc>
        <w:tc>
          <w:tcPr>
            <w:tcW w:w="1134" w:type="dxa"/>
          </w:tcPr>
          <w:p w:rsidR="00E2355F" w:rsidRPr="00C16D5F" w:rsidRDefault="00A220FD" w:rsidP="002B69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B6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5551,5</w:t>
            </w:r>
          </w:p>
        </w:tc>
        <w:tc>
          <w:tcPr>
            <w:tcW w:w="1134" w:type="dxa"/>
          </w:tcPr>
          <w:p w:rsidR="00E2355F" w:rsidRPr="00C16D5F" w:rsidRDefault="002B6967" w:rsidP="00A220F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20222,8</w:t>
            </w:r>
          </w:p>
        </w:tc>
      </w:tr>
    </w:tbl>
    <w:p w:rsidR="00E2355F" w:rsidRPr="006F635B" w:rsidRDefault="00E2355F" w:rsidP="00E2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B9" w:rsidRPr="00AA0DBE" w:rsidRDefault="005455B9" w:rsidP="00AE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 в 202</w:t>
      </w:r>
      <w:r w:rsidR="003518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предусматривается в рамках МП</w:t>
      </w:r>
      <w:r w:rsidR="0010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5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7572" w:rsidRPr="007C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институтов гражданского общества</w:t>
      </w:r>
      <w:r w:rsidR="00AE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5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7953,2 тыс. руб. (средства городского бюджета) и МП «Развитие транспортной системы» в сумме 236219,9 тыс. руб.</w:t>
      </w:r>
    </w:p>
    <w:p w:rsidR="005F2629" w:rsidRDefault="005455B9" w:rsidP="00B8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5B9" w:rsidRPr="006E7F09" w:rsidRDefault="005455B9" w:rsidP="005F2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7B">
        <w:rPr>
          <w:rFonts w:ascii="Times New Roman" w:hAnsi="Times New Roman" w:cs="Times New Roman"/>
          <w:b/>
          <w:sz w:val="28"/>
          <w:szCs w:val="28"/>
        </w:rPr>
        <w:t>5.</w:t>
      </w:r>
      <w:r w:rsidR="00351821">
        <w:rPr>
          <w:rFonts w:ascii="Times New Roman" w:hAnsi="Times New Roman" w:cs="Times New Roman"/>
          <w:b/>
          <w:sz w:val="28"/>
          <w:szCs w:val="28"/>
        </w:rPr>
        <w:t>5</w:t>
      </w:r>
      <w:r w:rsidRPr="006E6D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6D7B">
        <w:rPr>
          <w:rFonts w:ascii="Times New Roman" w:hAnsi="Times New Roman" w:cs="Times New Roman"/>
          <w:sz w:val="28"/>
          <w:szCs w:val="28"/>
        </w:rPr>
        <w:t>Проектом городского</w:t>
      </w:r>
      <w:r w:rsidRPr="006E6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D7B">
        <w:rPr>
          <w:rFonts w:ascii="Times New Roman" w:hAnsi="Times New Roman" w:cs="Times New Roman"/>
          <w:sz w:val="28"/>
          <w:szCs w:val="28"/>
        </w:rPr>
        <w:t xml:space="preserve">бюджета на плановый период предлагается </w:t>
      </w:r>
      <w:r w:rsidRPr="006E7F09">
        <w:rPr>
          <w:rFonts w:ascii="Times New Roman" w:hAnsi="Times New Roman" w:cs="Times New Roman"/>
          <w:sz w:val="28"/>
          <w:szCs w:val="28"/>
        </w:rPr>
        <w:t xml:space="preserve">утвердить условно утверждаемые расходы в сумме </w:t>
      </w:r>
      <w:r w:rsidR="005E264D" w:rsidRPr="006E7F09">
        <w:rPr>
          <w:rFonts w:ascii="Times New Roman" w:hAnsi="Times New Roman" w:cs="Times New Roman"/>
          <w:sz w:val="28"/>
          <w:szCs w:val="28"/>
        </w:rPr>
        <w:t>1</w:t>
      </w:r>
      <w:r w:rsidR="00351821" w:rsidRPr="006E7F09">
        <w:rPr>
          <w:rFonts w:ascii="Times New Roman" w:hAnsi="Times New Roman" w:cs="Times New Roman"/>
          <w:sz w:val="28"/>
          <w:szCs w:val="28"/>
        </w:rPr>
        <w:t>22</w:t>
      </w:r>
      <w:r w:rsidRPr="006E7F09">
        <w:rPr>
          <w:rFonts w:ascii="Times New Roman" w:hAnsi="Times New Roman" w:cs="Times New Roman"/>
          <w:sz w:val="28"/>
          <w:szCs w:val="28"/>
        </w:rPr>
        <w:t>00,0 тыс. руб. на 202</w:t>
      </w:r>
      <w:r w:rsidR="00351821" w:rsidRPr="006E7F09">
        <w:rPr>
          <w:rFonts w:ascii="Times New Roman" w:hAnsi="Times New Roman" w:cs="Times New Roman"/>
          <w:sz w:val="28"/>
          <w:szCs w:val="28"/>
        </w:rPr>
        <w:t>6</w:t>
      </w:r>
      <w:r w:rsidRPr="006E7F09">
        <w:rPr>
          <w:rFonts w:ascii="Times New Roman" w:hAnsi="Times New Roman" w:cs="Times New Roman"/>
          <w:sz w:val="28"/>
          <w:szCs w:val="28"/>
        </w:rPr>
        <w:t xml:space="preserve"> год</w:t>
      </w:r>
      <w:r w:rsidR="00FF0E80" w:rsidRPr="006E7F09">
        <w:rPr>
          <w:rFonts w:ascii="Times New Roman" w:hAnsi="Times New Roman" w:cs="Times New Roman"/>
          <w:sz w:val="28"/>
          <w:szCs w:val="28"/>
        </w:rPr>
        <w:t xml:space="preserve">, </w:t>
      </w:r>
      <w:r w:rsidRPr="006E7F0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058ED" w:rsidRPr="006E7F09">
        <w:rPr>
          <w:rFonts w:ascii="Times New Roman" w:hAnsi="Times New Roman" w:cs="Times New Roman"/>
          <w:sz w:val="28"/>
          <w:szCs w:val="28"/>
        </w:rPr>
        <w:t>25700</w:t>
      </w:r>
      <w:r w:rsidRPr="006E7F09">
        <w:rPr>
          <w:rFonts w:ascii="Times New Roman" w:hAnsi="Times New Roman" w:cs="Times New Roman"/>
          <w:sz w:val="28"/>
          <w:szCs w:val="28"/>
        </w:rPr>
        <w:t>,0 тыс. руб. – на 202</w:t>
      </w:r>
      <w:r w:rsidR="007058ED" w:rsidRPr="006E7F09">
        <w:rPr>
          <w:rFonts w:ascii="Times New Roman" w:hAnsi="Times New Roman" w:cs="Times New Roman"/>
          <w:sz w:val="28"/>
          <w:szCs w:val="28"/>
        </w:rPr>
        <w:t>7</w:t>
      </w:r>
      <w:r w:rsidRPr="006E7F09">
        <w:rPr>
          <w:rFonts w:ascii="Times New Roman" w:hAnsi="Times New Roman" w:cs="Times New Roman"/>
          <w:sz w:val="28"/>
          <w:szCs w:val="28"/>
        </w:rPr>
        <w:t xml:space="preserve"> год, что соответствует нормам статьи 184.1 Бюджетного кодекса РФ.</w:t>
      </w:r>
    </w:p>
    <w:p w:rsidR="005455B9" w:rsidRPr="006E7F09" w:rsidRDefault="005455B9" w:rsidP="00545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B9" w:rsidRDefault="005455B9" w:rsidP="00545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51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A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городского бюджета на трехлетний период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учетом реализации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C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67CA" w:rsidRPr="00136C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8A3765" w:rsidRPr="00136C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постановлением администрации города Вятские Поляны от </w:t>
      </w:r>
      <w:r w:rsidR="008A3765" w:rsidRP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FC4" w:rsidRP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3765" w:rsidRP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0FC4" w:rsidRP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3765" w:rsidRP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0FC4" w:rsidRP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A3765" w:rsidRP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30FC4" w:rsidRP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  <w:r w:rsidR="008A3765" w:rsidRP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программ муниципального образования городского округа город Вятские Поляны Кировской области».</w:t>
      </w:r>
    </w:p>
    <w:p w:rsidR="008A3765" w:rsidRDefault="008A3765" w:rsidP="00545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реализацию 1</w:t>
      </w:r>
      <w:r w:rsid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запланированы расходы в сумме </w:t>
      </w:r>
      <w:r w:rsidR="00030FC4">
        <w:rPr>
          <w:rFonts w:ascii="Times New Roman" w:eastAsia="Times New Roman" w:hAnsi="Times New Roman" w:cs="Times New Roman"/>
          <w:sz w:val="28"/>
          <w:szCs w:val="28"/>
          <w:lang w:eastAsia="ru-RU"/>
        </w:rPr>
        <w:t>1245036,0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руб. </w:t>
      </w:r>
      <w:r w:rsidR="00FF0E8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 МП «Поддержка и развитие малого и среднего предпринимательства в городе Вятские Поляны» проектом решения не предусмотрено.</w:t>
      </w:r>
    </w:p>
    <w:p w:rsidR="00136C2D" w:rsidRDefault="00136C2D" w:rsidP="00136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2025 года предусмотрено финансирование двух вновь утвержденных муниципальных программ: «Профилактика терроризма и экстремизма на территории города Вятские Поляны Кировской области» на 2025-2030 годы (утверждена постановлением администрации города Вятские Поляны от 30.05.2024 № 805) и «Обеспечение безопасности жизнедеятельности населения города Вятские Поляны Кировской области» на 2025-2030 годы (утверждена постановлением администрации города Вятские Поляны от 01.08.2024 № 1128).</w:t>
      </w:r>
    </w:p>
    <w:p w:rsidR="00AD3839" w:rsidRPr="00FA2082" w:rsidRDefault="00AD3839" w:rsidP="00AD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A208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157</w:t>
        </w:r>
      </w:hyperlink>
      <w:r w:rsidRPr="00FA2082">
        <w:rPr>
          <w:rFonts w:ascii="Times New Roman" w:hAnsi="Times New Roman" w:cs="Times New Roman"/>
          <w:sz w:val="28"/>
          <w:szCs w:val="28"/>
        </w:rPr>
        <w:t xml:space="preserve"> БК РФ контрольно-счетные органы муниципальных образований осуществляют бюджетные полномочия по экспертизе государственных (муниципальных) программ.</w:t>
      </w:r>
    </w:p>
    <w:p w:rsidR="00136C2D" w:rsidRDefault="00136C2D" w:rsidP="00136C2D">
      <w:pPr>
        <w:pStyle w:val="afb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C25E6">
        <w:rPr>
          <w:b w:val="0"/>
          <w:color w:val="000000"/>
          <w:sz w:val="28"/>
        </w:rPr>
        <w:t>Порядк</w:t>
      </w:r>
      <w:r>
        <w:rPr>
          <w:b w:val="0"/>
          <w:color w:val="000000"/>
          <w:sz w:val="28"/>
        </w:rPr>
        <w:t xml:space="preserve">ом </w:t>
      </w:r>
      <w:r w:rsidRPr="002C25E6">
        <w:rPr>
          <w:b w:val="0"/>
          <w:color w:val="000000"/>
          <w:sz w:val="28"/>
          <w:szCs w:val="28"/>
        </w:rPr>
        <w:t xml:space="preserve">разработки, реализации и оценки </w:t>
      </w:r>
      <w:proofErr w:type="gramStart"/>
      <w:r w:rsidRPr="002C25E6">
        <w:rPr>
          <w:b w:val="0"/>
          <w:color w:val="000000"/>
          <w:sz w:val="28"/>
          <w:szCs w:val="28"/>
        </w:rPr>
        <w:t>эффективности реализации муниципальных программ муниципального образования городского округа</w:t>
      </w:r>
      <w:proofErr w:type="gramEnd"/>
      <w:r w:rsidRPr="002C25E6">
        <w:rPr>
          <w:b w:val="0"/>
          <w:color w:val="000000"/>
          <w:sz w:val="28"/>
          <w:szCs w:val="28"/>
        </w:rPr>
        <w:t xml:space="preserve"> город Вятские Поляны Кировской области</w:t>
      </w:r>
      <w:r>
        <w:rPr>
          <w:b w:val="0"/>
          <w:color w:val="000000"/>
          <w:sz w:val="28"/>
          <w:szCs w:val="28"/>
        </w:rPr>
        <w:t>, утвержденным постановлением администрации города от 30.09.2019 № 1304, предусмотрено до утверждения направление проекта муниципальной программы в контрольно-счетную комиссию города Вятские Поляны для подготовки заключения.</w:t>
      </w:r>
    </w:p>
    <w:p w:rsidR="00136C2D" w:rsidRPr="002C25E6" w:rsidRDefault="00136C2D" w:rsidP="00136C2D">
      <w:pPr>
        <w:pStyle w:val="afb"/>
        <w:jc w:val="both"/>
        <w:rPr>
          <w:rFonts w:eastAsia="Calibri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>В нарушение вышеизложенного порядка при отсутствии заключения контрольно-счетной комиссии утвержден</w:t>
      </w:r>
      <w:r w:rsidR="005F2629">
        <w:rPr>
          <w:b w:val="0"/>
          <w:color w:val="000000"/>
          <w:sz w:val="28"/>
          <w:szCs w:val="28"/>
        </w:rPr>
        <w:t>ы</w:t>
      </w:r>
      <w:r>
        <w:rPr>
          <w:b w:val="0"/>
          <w:color w:val="000000"/>
          <w:sz w:val="28"/>
          <w:szCs w:val="28"/>
        </w:rPr>
        <w:t xml:space="preserve"> две муниципальные программы, объем </w:t>
      </w:r>
      <w:proofErr w:type="gramStart"/>
      <w:r>
        <w:rPr>
          <w:b w:val="0"/>
          <w:color w:val="000000"/>
          <w:sz w:val="28"/>
          <w:szCs w:val="28"/>
        </w:rPr>
        <w:t>финансирования</w:t>
      </w:r>
      <w:proofErr w:type="gramEnd"/>
      <w:r>
        <w:rPr>
          <w:b w:val="0"/>
          <w:color w:val="000000"/>
          <w:sz w:val="28"/>
          <w:szCs w:val="28"/>
        </w:rPr>
        <w:t xml:space="preserve"> которых на 2025-2027 годы составляет 1431,6 тыс. руб. ежегодно. </w:t>
      </w:r>
      <w:r w:rsidRPr="002C25E6">
        <w:rPr>
          <w:rFonts w:eastAsia="Calibri"/>
          <w:b w:val="0"/>
          <w:sz w:val="28"/>
          <w:szCs w:val="28"/>
        </w:rPr>
        <w:t xml:space="preserve"> </w:t>
      </w:r>
    </w:p>
    <w:p w:rsidR="00D65206" w:rsidRDefault="00D65206" w:rsidP="004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D2" w:rsidRPr="004037B0" w:rsidRDefault="008A3765" w:rsidP="00462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в расходах городского бюджета занимают расходы на реализацию </w:t>
      </w:r>
      <w:r w:rsidR="00D6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F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24D2" w:rsidRPr="004037B0">
        <w:rPr>
          <w:rFonts w:ascii="Times New Roman" w:hAnsi="Times New Roman" w:cs="Times New Roman"/>
          <w:sz w:val="28"/>
          <w:szCs w:val="28"/>
        </w:rPr>
        <w:t xml:space="preserve">«Развитие образования» - </w:t>
      </w:r>
      <w:r w:rsidR="00030FC4">
        <w:rPr>
          <w:rFonts w:ascii="Times New Roman" w:hAnsi="Times New Roman" w:cs="Times New Roman"/>
          <w:sz w:val="28"/>
          <w:szCs w:val="28"/>
        </w:rPr>
        <w:t>49</w:t>
      </w:r>
      <w:r w:rsidR="004624D2" w:rsidRPr="004037B0">
        <w:rPr>
          <w:rFonts w:ascii="Times New Roman" w:hAnsi="Times New Roman" w:cs="Times New Roman"/>
          <w:sz w:val="28"/>
          <w:szCs w:val="28"/>
        </w:rPr>
        <w:t>%</w:t>
      </w:r>
      <w:r w:rsidR="004624D2">
        <w:rPr>
          <w:rFonts w:ascii="Times New Roman" w:hAnsi="Times New Roman" w:cs="Times New Roman"/>
          <w:sz w:val="28"/>
          <w:szCs w:val="28"/>
        </w:rPr>
        <w:t xml:space="preserve"> от общего объема расходов,</w:t>
      </w:r>
      <w:r w:rsidR="004624D2" w:rsidRPr="004037B0">
        <w:rPr>
          <w:rFonts w:ascii="Times New Roman" w:hAnsi="Times New Roman" w:cs="Times New Roman"/>
          <w:sz w:val="28"/>
          <w:szCs w:val="28"/>
        </w:rPr>
        <w:t xml:space="preserve"> </w:t>
      </w:r>
      <w:r w:rsidR="004624D2">
        <w:rPr>
          <w:rFonts w:ascii="Times New Roman" w:hAnsi="Times New Roman" w:cs="Times New Roman"/>
          <w:sz w:val="28"/>
          <w:szCs w:val="28"/>
        </w:rPr>
        <w:t>«</w:t>
      </w:r>
      <w:r w:rsidR="004624D2" w:rsidRPr="00BC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4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транспортной системы» - </w:t>
      </w:r>
      <w:r w:rsidR="0003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</w:t>
      </w:r>
      <w:r w:rsidR="0003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6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03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0FC4" w:rsidRPr="004037B0">
        <w:rPr>
          <w:rFonts w:ascii="Times New Roman" w:hAnsi="Times New Roman" w:cs="Times New Roman"/>
          <w:sz w:val="28"/>
          <w:szCs w:val="28"/>
        </w:rPr>
        <w:t>«</w:t>
      </w:r>
      <w:r w:rsidR="00030FC4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030FC4" w:rsidRPr="004037B0">
        <w:rPr>
          <w:rFonts w:ascii="Times New Roman" w:hAnsi="Times New Roman" w:cs="Times New Roman"/>
          <w:sz w:val="28"/>
          <w:szCs w:val="28"/>
        </w:rPr>
        <w:t xml:space="preserve">» - </w:t>
      </w:r>
      <w:r w:rsidR="00030FC4">
        <w:rPr>
          <w:rFonts w:ascii="Times New Roman" w:hAnsi="Times New Roman" w:cs="Times New Roman"/>
          <w:sz w:val="28"/>
          <w:szCs w:val="28"/>
        </w:rPr>
        <w:t>10,3% и «Развитие культуры»</w:t>
      </w:r>
      <w:r w:rsidR="00D65206">
        <w:rPr>
          <w:rFonts w:ascii="Times New Roman" w:hAnsi="Times New Roman" w:cs="Times New Roman"/>
          <w:sz w:val="28"/>
          <w:szCs w:val="28"/>
        </w:rPr>
        <w:t xml:space="preserve"> - 9,4%.</w:t>
      </w:r>
    </w:p>
    <w:p w:rsidR="005455B9" w:rsidRDefault="004624D2" w:rsidP="00545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объемах финансирования в 202</w:t>
      </w:r>
      <w:r w:rsidR="001D5C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71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D5C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1717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представлена в таблице</w:t>
      </w:r>
      <w:r w:rsidR="00E0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32C" w:rsidRPr="00E0043E" w:rsidRDefault="0000532C" w:rsidP="00545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534"/>
        <w:gridCol w:w="4819"/>
        <w:gridCol w:w="1134"/>
        <w:gridCol w:w="851"/>
        <w:gridCol w:w="1134"/>
        <w:gridCol w:w="1099"/>
      </w:tblGrid>
      <w:tr w:rsidR="00B84371" w:rsidTr="007E051E">
        <w:tc>
          <w:tcPr>
            <w:tcW w:w="534" w:type="dxa"/>
          </w:tcPr>
          <w:p w:rsidR="00151DDA" w:rsidRPr="00151DDA" w:rsidRDefault="00151DD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151DDA" w:rsidRPr="00151DDA" w:rsidRDefault="00151DD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4" w:type="dxa"/>
          </w:tcPr>
          <w:p w:rsidR="00151DDA" w:rsidRPr="00151DDA" w:rsidRDefault="00151DD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D5C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  <w:p w:rsidR="00151DDA" w:rsidRPr="00151DDA" w:rsidRDefault="00151DD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851" w:type="dxa"/>
          </w:tcPr>
          <w:p w:rsidR="00151DDA" w:rsidRPr="00151DDA" w:rsidRDefault="00151DD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134" w:type="dxa"/>
          </w:tcPr>
          <w:p w:rsidR="00151DDA" w:rsidRPr="00151DDA" w:rsidRDefault="00151DDA" w:rsidP="00151DD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D5C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  <w:p w:rsidR="00151DDA" w:rsidRPr="00151DDA" w:rsidRDefault="00151DDA" w:rsidP="00151DD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099" w:type="dxa"/>
          </w:tcPr>
          <w:p w:rsidR="00151DDA" w:rsidRPr="00151DDA" w:rsidRDefault="00151DDA" w:rsidP="00151DD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1D5C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  <w:p w:rsidR="00151DDA" w:rsidRPr="00151DDA" w:rsidRDefault="00151DDA" w:rsidP="00151DD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</w:tr>
      <w:tr w:rsidR="00B84371" w:rsidTr="007E051E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151DDA" w:rsidRPr="00151DDA" w:rsidRDefault="00151DDA" w:rsidP="00151DD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1D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51DDA" w:rsidRPr="00103B9A" w:rsidRDefault="00B84371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1245036,0</w:t>
            </w:r>
          </w:p>
        </w:tc>
        <w:tc>
          <w:tcPr>
            <w:tcW w:w="851" w:type="dxa"/>
          </w:tcPr>
          <w:p w:rsidR="00151DDA" w:rsidRPr="00103B9A" w:rsidRDefault="00103B9A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3B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51DDA" w:rsidRPr="00103B9A" w:rsidRDefault="00B84371" w:rsidP="007748F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882807,7</w:t>
            </w:r>
          </w:p>
        </w:tc>
        <w:tc>
          <w:tcPr>
            <w:tcW w:w="1099" w:type="dxa"/>
          </w:tcPr>
          <w:p w:rsidR="00151DDA" w:rsidRPr="00103B9A" w:rsidRDefault="00B84371" w:rsidP="005455B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866197,3</w:t>
            </w:r>
          </w:p>
        </w:tc>
      </w:tr>
      <w:tr w:rsidR="00B84371" w:rsidTr="007E051E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151DDA" w:rsidRPr="0023347A" w:rsidRDefault="00151DDA" w:rsidP="002D039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1134" w:type="dxa"/>
          </w:tcPr>
          <w:p w:rsidR="00151DDA" w:rsidRDefault="00A21AB3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609318,8</w:t>
            </w:r>
          </w:p>
        </w:tc>
        <w:tc>
          <w:tcPr>
            <w:tcW w:w="851" w:type="dxa"/>
          </w:tcPr>
          <w:p w:rsidR="00151DDA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</w:tcPr>
          <w:p w:rsidR="00151DDA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579130,1</w:t>
            </w:r>
          </w:p>
        </w:tc>
        <w:tc>
          <w:tcPr>
            <w:tcW w:w="1099" w:type="dxa"/>
          </w:tcPr>
          <w:p w:rsidR="00151DDA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544157,0</w:t>
            </w:r>
          </w:p>
        </w:tc>
      </w:tr>
      <w:tr w:rsidR="00B84371" w:rsidTr="007E051E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151DDA" w:rsidRPr="0023347A" w:rsidRDefault="00151DDA" w:rsidP="002D039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1134" w:type="dxa"/>
          </w:tcPr>
          <w:p w:rsidR="00151DDA" w:rsidRDefault="00A21AB3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8340,4</w:t>
            </w:r>
          </w:p>
        </w:tc>
        <w:tc>
          <w:tcPr>
            <w:tcW w:w="851" w:type="dxa"/>
          </w:tcPr>
          <w:p w:rsidR="00151DDA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</w:tcPr>
          <w:p w:rsidR="00151DDA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8547,8</w:t>
            </w:r>
          </w:p>
        </w:tc>
        <w:tc>
          <w:tcPr>
            <w:tcW w:w="1099" w:type="dxa"/>
          </w:tcPr>
          <w:p w:rsidR="00151DDA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8547,8</w:t>
            </w:r>
          </w:p>
        </w:tc>
      </w:tr>
      <w:tr w:rsidR="00B84371" w:rsidTr="007E051E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  <w:vAlign w:val="center"/>
          </w:tcPr>
          <w:p w:rsidR="00151DDA" w:rsidRPr="0023347A" w:rsidRDefault="00151DDA" w:rsidP="002D039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культуры</w:t>
            </w:r>
          </w:p>
        </w:tc>
        <w:tc>
          <w:tcPr>
            <w:tcW w:w="1134" w:type="dxa"/>
          </w:tcPr>
          <w:p w:rsidR="00151DDA" w:rsidRDefault="00A21AB3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117496,9</w:t>
            </w:r>
          </w:p>
        </w:tc>
        <w:tc>
          <w:tcPr>
            <w:tcW w:w="851" w:type="dxa"/>
          </w:tcPr>
          <w:p w:rsidR="00151DDA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34" w:type="dxa"/>
          </w:tcPr>
          <w:p w:rsidR="00151DDA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116499,9</w:t>
            </w:r>
          </w:p>
        </w:tc>
        <w:tc>
          <w:tcPr>
            <w:tcW w:w="1099" w:type="dxa"/>
          </w:tcPr>
          <w:p w:rsidR="00151DDA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116433,7</w:t>
            </w:r>
          </w:p>
        </w:tc>
      </w:tr>
      <w:tr w:rsidR="00B84371" w:rsidTr="007E051E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  <w:vAlign w:val="center"/>
          </w:tcPr>
          <w:p w:rsidR="00151DDA" w:rsidRPr="0023347A" w:rsidRDefault="00151DDA" w:rsidP="002D039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1134" w:type="dxa"/>
          </w:tcPr>
          <w:p w:rsidR="00151DDA" w:rsidRDefault="005B30A4" w:rsidP="00A21AB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21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5477,1</w:t>
            </w:r>
          </w:p>
        </w:tc>
        <w:tc>
          <w:tcPr>
            <w:tcW w:w="851" w:type="dxa"/>
          </w:tcPr>
          <w:p w:rsidR="00151DDA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</w:tcPr>
          <w:p w:rsidR="00151DDA" w:rsidRDefault="007748F0" w:rsidP="00B843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B8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477,1</w:t>
            </w:r>
          </w:p>
        </w:tc>
        <w:tc>
          <w:tcPr>
            <w:tcW w:w="1099" w:type="dxa"/>
          </w:tcPr>
          <w:p w:rsidR="00151DDA" w:rsidRDefault="007748F0" w:rsidP="00B843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B8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477,1</w:t>
            </w:r>
          </w:p>
        </w:tc>
      </w:tr>
      <w:tr w:rsidR="00B84371" w:rsidTr="007E051E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9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развитию институтов гражданского общества</w:t>
            </w:r>
          </w:p>
        </w:tc>
        <w:tc>
          <w:tcPr>
            <w:tcW w:w="1134" w:type="dxa"/>
          </w:tcPr>
          <w:p w:rsidR="00151DDA" w:rsidRDefault="00A21AB3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12967,2</w:t>
            </w:r>
          </w:p>
        </w:tc>
        <w:tc>
          <w:tcPr>
            <w:tcW w:w="851" w:type="dxa"/>
          </w:tcPr>
          <w:p w:rsidR="00151DDA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151DDA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763,1</w:t>
            </w:r>
          </w:p>
        </w:tc>
        <w:tc>
          <w:tcPr>
            <w:tcW w:w="1099" w:type="dxa"/>
          </w:tcPr>
          <w:p w:rsidR="00151DDA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763,1</w:t>
            </w:r>
          </w:p>
        </w:tc>
      </w:tr>
      <w:tr w:rsidR="00B84371" w:rsidTr="007E051E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жизнедеятельности </w:t>
            </w:r>
            <w:proofErr w:type="spellStart"/>
            <w:proofErr w:type="gramStart"/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насе</w:t>
            </w:r>
            <w:r w:rsidR="007E05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Вятские Поляны Кировской области</w:t>
            </w:r>
          </w:p>
        </w:tc>
        <w:tc>
          <w:tcPr>
            <w:tcW w:w="1134" w:type="dxa"/>
          </w:tcPr>
          <w:p w:rsidR="00151DDA" w:rsidRDefault="005B30A4" w:rsidP="00A21AB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21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426,6</w:t>
            </w:r>
          </w:p>
        </w:tc>
        <w:tc>
          <w:tcPr>
            <w:tcW w:w="851" w:type="dxa"/>
          </w:tcPr>
          <w:p w:rsidR="00151DDA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</w:tcPr>
          <w:p w:rsidR="00151DDA" w:rsidRDefault="007748F0" w:rsidP="00B843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8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426,6</w:t>
            </w:r>
          </w:p>
        </w:tc>
        <w:tc>
          <w:tcPr>
            <w:tcW w:w="1099" w:type="dxa"/>
          </w:tcPr>
          <w:p w:rsidR="00151DDA" w:rsidRDefault="007748F0" w:rsidP="00B843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8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426,6</w:t>
            </w:r>
          </w:p>
        </w:tc>
      </w:tr>
      <w:tr w:rsidR="00B84371" w:rsidTr="007E051E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9" w:type="dxa"/>
          </w:tcPr>
          <w:p w:rsidR="00151DDA" w:rsidRPr="0023347A" w:rsidRDefault="00151DDA" w:rsidP="00151DDA">
            <w:pPr>
              <w:tabs>
                <w:tab w:val="left" w:pos="0"/>
                <w:tab w:val="left" w:pos="34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строительства и архитектуры</w:t>
            </w:r>
          </w:p>
        </w:tc>
        <w:tc>
          <w:tcPr>
            <w:tcW w:w="1134" w:type="dxa"/>
          </w:tcPr>
          <w:p w:rsidR="00151DDA" w:rsidRDefault="00A21AB3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851" w:type="dxa"/>
          </w:tcPr>
          <w:p w:rsidR="00151DDA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</w:tcPr>
          <w:p w:rsidR="00151DDA" w:rsidRDefault="007748F0" w:rsidP="00B843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B8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8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99" w:type="dxa"/>
          </w:tcPr>
          <w:p w:rsidR="00151DDA" w:rsidRDefault="007748F0" w:rsidP="00B843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B84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84371" w:rsidTr="007E051E">
        <w:tc>
          <w:tcPr>
            <w:tcW w:w="534" w:type="dxa"/>
          </w:tcPr>
          <w:p w:rsidR="00151DDA" w:rsidRDefault="00151DDA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</w:tcPr>
          <w:p w:rsidR="00151DDA" w:rsidRPr="0023347A" w:rsidRDefault="00151DDA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1134" w:type="dxa"/>
          </w:tcPr>
          <w:p w:rsidR="00151DDA" w:rsidRDefault="00A21AB3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241466,9</w:t>
            </w:r>
          </w:p>
        </w:tc>
        <w:tc>
          <w:tcPr>
            <w:tcW w:w="851" w:type="dxa"/>
          </w:tcPr>
          <w:p w:rsidR="00151DDA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34" w:type="dxa"/>
          </w:tcPr>
          <w:p w:rsidR="00151DDA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30798,5</w:t>
            </w:r>
          </w:p>
        </w:tc>
        <w:tc>
          <w:tcPr>
            <w:tcW w:w="1099" w:type="dxa"/>
          </w:tcPr>
          <w:p w:rsidR="00151DDA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25469,8</w:t>
            </w:r>
          </w:p>
        </w:tc>
      </w:tr>
      <w:tr w:rsidR="00B84371" w:rsidTr="007E051E">
        <w:tc>
          <w:tcPr>
            <w:tcW w:w="5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9" w:type="dxa"/>
          </w:tcPr>
          <w:p w:rsidR="00B84371" w:rsidRPr="0023347A" w:rsidRDefault="00B84371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жилищно-коммунальной инфраструктуры города Вятские Поляны</w:t>
            </w:r>
          </w:p>
        </w:tc>
        <w:tc>
          <w:tcPr>
            <w:tcW w:w="11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36620,8</w:t>
            </w:r>
          </w:p>
        </w:tc>
        <w:tc>
          <w:tcPr>
            <w:tcW w:w="851" w:type="dxa"/>
          </w:tcPr>
          <w:p w:rsidR="00B84371" w:rsidRDefault="00030FC4" w:rsidP="007067C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23641,8</w:t>
            </w:r>
          </w:p>
        </w:tc>
        <w:tc>
          <w:tcPr>
            <w:tcW w:w="1099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23641,8</w:t>
            </w:r>
          </w:p>
        </w:tc>
      </w:tr>
      <w:tr w:rsidR="00B84371" w:rsidTr="007E051E">
        <w:tc>
          <w:tcPr>
            <w:tcW w:w="5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9" w:type="dxa"/>
          </w:tcPr>
          <w:p w:rsidR="00B84371" w:rsidRPr="0023347A" w:rsidRDefault="00B84371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Охрана окружающей среды, воспроизводство и использование природных ресурсов</w:t>
            </w:r>
          </w:p>
        </w:tc>
        <w:tc>
          <w:tcPr>
            <w:tcW w:w="11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</w:tcPr>
          <w:p w:rsidR="00B84371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9" w:type="dxa"/>
          </w:tcPr>
          <w:p w:rsidR="00B84371" w:rsidRDefault="00B84371" w:rsidP="00B843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2215,6</w:t>
            </w:r>
          </w:p>
        </w:tc>
      </w:tr>
      <w:tr w:rsidR="00B84371" w:rsidTr="007E051E">
        <w:tc>
          <w:tcPr>
            <w:tcW w:w="5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19" w:type="dxa"/>
          </w:tcPr>
          <w:p w:rsidR="00B84371" w:rsidRPr="0023347A" w:rsidRDefault="00B84371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11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9509,2</w:t>
            </w:r>
          </w:p>
        </w:tc>
        <w:tc>
          <w:tcPr>
            <w:tcW w:w="851" w:type="dxa"/>
          </w:tcPr>
          <w:p w:rsidR="00B84371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8048,7</w:t>
            </w:r>
          </w:p>
        </w:tc>
        <w:tc>
          <w:tcPr>
            <w:tcW w:w="1099" w:type="dxa"/>
          </w:tcPr>
          <w:p w:rsidR="00B84371" w:rsidRDefault="00B84371" w:rsidP="00B8437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8103,5</w:t>
            </w:r>
          </w:p>
        </w:tc>
      </w:tr>
      <w:tr w:rsidR="00B84371" w:rsidTr="007E051E">
        <w:tc>
          <w:tcPr>
            <w:tcW w:w="5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19" w:type="dxa"/>
          </w:tcPr>
          <w:p w:rsidR="00B84371" w:rsidRPr="0023347A" w:rsidRDefault="00B84371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и другие обязательства муниципального образования</w:t>
            </w:r>
          </w:p>
        </w:tc>
        <w:tc>
          <w:tcPr>
            <w:tcW w:w="1134" w:type="dxa"/>
          </w:tcPr>
          <w:p w:rsidR="00B84371" w:rsidRDefault="00B84371" w:rsidP="00A21AB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43231,8</w:t>
            </w:r>
          </w:p>
        </w:tc>
        <w:tc>
          <w:tcPr>
            <w:tcW w:w="851" w:type="dxa"/>
          </w:tcPr>
          <w:p w:rsidR="00B84371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42737,2</w:t>
            </w:r>
          </w:p>
        </w:tc>
        <w:tc>
          <w:tcPr>
            <w:tcW w:w="1099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42694,5</w:t>
            </w:r>
          </w:p>
        </w:tc>
      </w:tr>
      <w:tr w:rsidR="00B84371" w:rsidTr="007E051E">
        <w:tc>
          <w:tcPr>
            <w:tcW w:w="534" w:type="dxa"/>
          </w:tcPr>
          <w:p w:rsidR="00B84371" w:rsidRDefault="00B84371" w:rsidP="00151DD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19" w:type="dxa"/>
          </w:tcPr>
          <w:p w:rsidR="00B84371" w:rsidRPr="0023347A" w:rsidRDefault="00B84371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1134" w:type="dxa"/>
          </w:tcPr>
          <w:p w:rsidR="00B84371" w:rsidRDefault="00B84371" w:rsidP="00A21AB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18405,5</w:t>
            </w:r>
          </w:p>
        </w:tc>
        <w:tc>
          <w:tcPr>
            <w:tcW w:w="851" w:type="dxa"/>
          </w:tcPr>
          <w:p w:rsidR="00B84371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40105,5</w:t>
            </w:r>
          </w:p>
        </w:tc>
        <w:tc>
          <w:tcPr>
            <w:tcW w:w="1099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61705,5</w:t>
            </w:r>
          </w:p>
        </w:tc>
      </w:tr>
      <w:tr w:rsidR="00B84371" w:rsidTr="007E051E">
        <w:tc>
          <w:tcPr>
            <w:tcW w:w="5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19" w:type="dxa"/>
          </w:tcPr>
          <w:p w:rsidR="00B84371" w:rsidRPr="0023347A" w:rsidRDefault="00B84371" w:rsidP="002D03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34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134" w:type="dxa"/>
          </w:tcPr>
          <w:p w:rsidR="00B84371" w:rsidRDefault="00B84371" w:rsidP="00A21AB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128779,8</w:t>
            </w:r>
          </w:p>
        </w:tc>
        <w:tc>
          <w:tcPr>
            <w:tcW w:w="851" w:type="dxa"/>
          </w:tcPr>
          <w:p w:rsidR="00B84371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13641,4</w:t>
            </w:r>
          </w:p>
        </w:tc>
        <w:tc>
          <w:tcPr>
            <w:tcW w:w="1099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13641,4</w:t>
            </w:r>
          </w:p>
        </w:tc>
      </w:tr>
      <w:tr w:rsidR="00B84371" w:rsidTr="007E051E">
        <w:tc>
          <w:tcPr>
            <w:tcW w:w="5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19" w:type="dxa"/>
          </w:tcPr>
          <w:p w:rsidR="00B84371" w:rsidRPr="0023347A" w:rsidRDefault="00B84371" w:rsidP="007E051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Профилактика терроризма и экстремизма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</w:t>
            </w:r>
            <w:r w:rsidR="007E05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города Вятские Поляны </w:t>
            </w:r>
          </w:p>
        </w:tc>
        <w:tc>
          <w:tcPr>
            <w:tcW w:w="1134" w:type="dxa"/>
          </w:tcPr>
          <w:p w:rsidR="00B84371" w:rsidRDefault="00B84371" w:rsidP="00A21AB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B84371" w:rsidRDefault="00030FC4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9" w:type="dxa"/>
          </w:tcPr>
          <w:p w:rsidR="00B84371" w:rsidRDefault="00B84371" w:rsidP="005455B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</w:tbl>
    <w:p w:rsidR="00151DDA" w:rsidRPr="00E0043E" w:rsidRDefault="00B84371" w:rsidP="00545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455B9" w:rsidRDefault="005455B9" w:rsidP="0046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Конкретные направления</w:t>
      </w:r>
      <w:r w:rsidR="004624D2">
        <w:rPr>
          <w:rFonts w:ascii="Times New Roman" w:eastAsia="Calibri" w:hAnsi="Times New Roman" w:cs="Times New Roman"/>
          <w:sz w:val="28"/>
          <w:szCs w:val="28"/>
        </w:rPr>
        <w:t xml:space="preserve"> (мероприятия) использования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 городского бюджета в рамках муниципальных программ в 202</w:t>
      </w:r>
      <w:r w:rsidR="007067C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подробно изложены в </w:t>
      </w:r>
      <w:r w:rsidR="00D56D3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ояснительной записке к проекту решения.</w:t>
      </w:r>
    </w:p>
    <w:p w:rsidR="006E7F09" w:rsidRDefault="00295701" w:rsidP="0013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5B9" w:rsidRPr="006F635B" w:rsidRDefault="005455B9" w:rsidP="006E7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3D81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635B">
        <w:rPr>
          <w:rFonts w:ascii="Times New Roman" w:eastAsia="Calibri" w:hAnsi="Times New Roman" w:cs="Times New Roman"/>
          <w:b/>
          <w:sz w:val="28"/>
          <w:szCs w:val="28"/>
        </w:rPr>
        <w:t>Сбалансированность городского бюджета, муниципальный долг</w:t>
      </w:r>
    </w:p>
    <w:p w:rsidR="005455B9" w:rsidRDefault="005455B9" w:rsidP="005455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проекту решения </w:t>
      </w:r>
      <w:r w:rsidR="006207B1">
        <w:rPr>
          <w:rFonts w:ascii="Times New Roman" w:hAnsi="Times New Roman" w:cs="Times New Roman"/>
          <w:sz w:val="28"/>
          <w:szCs w:val="28"/>
        </w:rPr>
        <w:t>городской бюджет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B2C">
        <w:rPr>
          <w:rFonts w:ascii="Times New Roman" w:hAnsi="Times New Roman" w:cs="Times New Roman"/>
          <w:sz w:val="28"/>
          <w:szCs w:val="28"/>
        </w:rPr>
        <w:t>202</w:t>
      </w:r>
      <w:r w:rsidR="006E7F09">
        <w:rPr>
          <w:rFonts w:ascii="Times New Roman" w:hAnsi="Times New Roman" w:cs="Times New Roman"/>
          <w:sz w:val="28"/>
          <w:szCs w:val="28"/>
        </w:rPr>
        <w:t>5</w:t>
      </w:r>
      <w:r w:rsidR="006207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спрогнозирован</w:t>
      </w:r>
      <w:r w:rsidRPr="00203B2C">
        <w:rPr>
          <w:rFonts w:ascii="Times New Roman" w:hAnsi="Times New Roman" w:cs="Times New Roman"/>
          <w:sz w:val="28"/>
          <w:szCs w:val="28"/>
        </w:rPr>
        <w:t xml:space="preserve"> </w:t>
      </w:r>
      <w:r w:rsidR="006207B1">
        <w:rPr>
          <w:rFonts w:ascii="Times New Roman" w:hAnsi="Times New Roman" w:cs="Times New Roman"/>
          <w:sz w:val="28"/>
          <w:szCs w:val="28"/>
        </w:rPr>
        <w:t xml:space="preserve">с </w:t>
      </w:r>
      <w:r w:rsidR="006207B1" w:rsidRPr="000453CD">
        <w:rPr>
          <w:rFonts w:ascii="Times New Roman" w:hAnsi="Times New Roman" w:cs="Times New Roman"/>
          <w:b/>
          <w:sz w:val="28"/>
          <w:szCs w:val="28"/>
        </w:rPr>
        <w:t>дефицитом</w:t>
      </w:r>
      <w:r w:rsidR="006207B1">
        <w:rPr>
          <w:rFonts w:ascii="Times New Roman" w:hAnsi="Times New Roman" w:cs="Times New Roman"/>
          <w:sz w:val="28"/>
          <w:szCs w:val="28"/>
        </w:rPr>
        <w:t xml:space="preserve"> </w:t>
      </w:r>
      <w:r w:rsidR="004D72D6">
        <w:rPr>
          <w:rFonts w:ascii="Times New Roman" w:hAnsi="Times New Roman" w:cs="Times New Roman"/>
          <w:sz w:val="28"/>
          <w:szCs w:val="28"/>
        </w:rPr>
        <w:t>в сумме 2</w:t>
      </w:r>
      <w:r w:rsidR="00355F2B">
        <w:rPr>
          <w:rFonts w:ascii="Times New Roman" w:hAnsi="Times New Roman" w:cs="Times New Roman"/>
          <w:sz w:val="28"/>
          <w:szCs w:val="28"/>
        </w:rPr>
        <w:t>000,0 тыс. руб. и с п</w:t>
      </w:r>
      <w:r w:rsidR="00115B2A">
        <w:rPr>
          <w:rFonts w:ascii="Times New Roman" w:eastAsia="Calibri" w:hAnsi="Times New Roman" w:cs="Times New Roman"/>
          <w:sz w:val="28"/>
          <w:szCs w:val="28"/>
        </w:rPr>
        <w:t>ро</w:t>
      </w:r>
      <w:r>
        <w:rPr>
          <w:rFonts w:ascii="Times New Roman" w:eastAsia="Calibri" w:hAnsi="Times New Roman" w:cs="Times New Roman"/>
          <w:sz w:val="28"/>
          <w:szCs w:val="28"/>
        </w:rPr>
        <w:t>фицит</w:t>
      </w:r>
      <w:r w:rsidR="00355F2B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F2B">
        <w:rPr>
          <w:rFonts w:ascii="Times New Roman" w:eastAsia="Calibri" w:hAnsi="Times New Roman" w:cs="Times New Roman"/>
          <w:sz w:val="28"/>
          <w:szCs w:val="28"/>
        </w:rPr>
        <w:t>в 202</w:t>
      </w:r>
      <w:r w:rsidR="004D72D6">
        <w:rPr>
          <w:rFonts w:ascii="Times New Roman" w:eastAsia="Calibri" w:hAnsi="Times New Roman" w:cs="Times New Roman"/>
          <w:sz w:val="28"/>
          <w:szCs w:val="28"/>
        </w:rPr>
        <w:t xml:space="preserve">6 году в сумме 1048,3 тыс. руб. и в </w:t>
      </w:r>
      <w:r w:rsidR="00355F2B">
        <w:rPr>
          <w:rFonts w:ascii="Times New Roman" w:eastAsia="Calibri" w:hAnsi="Times New Roman" w:cs="Times New Roman"/>
          <w:sz w:val="28"/>
          <w:szCs w:val="28"/>
        </w:rPr>
        <w:t>202</w:t>
      </w:r>
      <w:r w:rsidR="004D72D6">
        <w:rPr>
          <w:rFonts w:ascii="Times New Roman" w:eastAsia="Calibri" w:hAnsi="Times New Roman" w:cs="Times New Roman"/>
          <w:sz w:val="28"/>
          <w:szCs w:val="28"/>
        </w:rPr>
        <w:t>7</w:t>
      </w:r>
      <w:r w:rsidR="00355F2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D72D6">
        <w:rPr>
          <w:rFonts w:ascii="Times New Roman" w:eastAsia="Calibri" w:hAnsi="Times New Roman" w:cs="Times New Roman"/>
          <w:sz w:val="28"/>
          <w:szCs w:val="28"/>
        </w:rPr>
        <w:t xml:space="preserve">у – 1639,0 тыс. руб. </w:t>
      </w:r>
    </w:p>
    <w:p w:rsidR="00AB1CDE" w:rsidRPr="003A7780" w:rsidRDefault="00AB1CDE" w:rsidP="005455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Источником покрытия дефицита городского бюджета в сумме </w:t>
      </w:r>
      <w:r w:rsidR="004D72D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000,0 тыс. руб</w:t>
      </w:r>
      <w:r w:rsidRPr="000053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A7780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B53A77" w:rsidRPr="003A7780">
        <w:rPr>
          <w:rFonts w:ascii="Times New Roman" w:eastAsia="Calibri" w:hAnsi="Times New Roman" w:cs="Times New Roman"/>
          <w:sz w:val="28"/>
          <w:szCs w:val="28"/>
        </w:rPr>
        <w:t xml:space="preserve"> остатки </w:t>
      </w:r>
      <w:r w:rsidR="00BB2E3A" w:rsidRPr="003A7780">
        <w:rPr>
          <w:rFonts w:ascii="Times New Roman" w:eastAsia="Calibri" w:hAnsi="Times New Roman" w:cs="Times New Roman"/>
          <w:sz w:val="28"/>
          <w:szCs w:val="28"/>
        </w:rPr>
        <w:t>средств на едином счете бюджета по итогам 202</w:t>
      </w:r>
      <w:r w:rsidR="004D72D6" w:rsidRPr="003A7780">
        <w:rPr>
          <w:rFonts w:ascii="Times New Roman" w:eastAsia="Calibri" w:hAnsi="Times New Roman" w:cs="Times New Roman"/>
          <w:sz w:val="28"/>
          <w:szCs w:val="28"/>
        </w:rPr>
        <w:t>4</w:t>
      </w:r>
      <w:r w:rsidR="00BB2E3A" w:rsidRPr="003A778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453CD" w:rsidRPr="003A7780">
        <w:rPr>
          <w:rFonts w:ascii="Times New Roman" w:eastAsia="Calibri" w:hAnsi="Times New Roman" w:cs="Times New Roman"/>
          <w:sz w:val="28"/>
          <w:szCs w:val="28"/>
        </w:rPr>
        <w:t>(</w:t>
      </w:r>
      <w:r w:rsidR="004D72D6" w:rsidRPr="003A7780">
        <w:rPr>
          <w:rFonts w:ascii="Times New Roman" w:eastAsia="Calibri" w:hAnsi="Times New Roman" w:cs="Times New Roman"/>
          <w:sz w:val="28"/>
          <w:szCs w:val="28"/>
        </w:rPr>
        <w:t>3</w:t>
      </w:r>
      <w:r w:rsidR="00D65206">
        <w:rPr>
          <w:rFonts w:ascii="Times New Roman" w:eastAsia="Calibri" w:hAnsi="Times New Roman" w:cs="Times New Roman"/>
          <w:sz w:val="28"/>
          <w:szCs w:val="28"/>
        </w:rPr>
        <w:t>048,3 тыс. руб.).</w:t>
      </w:r>
      <w:r w:rsidR="000453CD" w:rsidRPr="003A77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34FA" w:rsidRDefault="00F634FA" w:rsidP="0054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780" w:rsidRDefault="005455B9" w:rsidP="0054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Долговая политика 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A7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среднесрочную перспективу 202</w:t>
      </w:r>
      <w:r w:rsidR="003A77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A77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будет направлена </w:t>
      </w:r>
      <w:r w:rsidR="0003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бюджета, поддержание экономически обоснованного муниципального долга для сохранения позиции муниципального образования в группе муниципальных образований со средним </w:t>
      </w:r>
      <w:r w:rsidR="00F9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уровнем устойчивости. </w:t>
      </w:r>
    </w:p>
    <w:p w:rsidR="005455B9" w:rsidRPr="00D1051A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</w:t>
      </w:r>
      <w:r w:rsidR="004D72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F3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за</w:t>
      </w:r>
      <w:r w:rsidRPr="00560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="008F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</w:t>
      </w:r>
      <w:r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кредитов кредитных организаций в общей сумме </w:t>
      </w:r>
      <w:r w:rsidR="003A778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 тыс. руб.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кредита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A77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>804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3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1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="00F9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 кредитных организаций в сумме 45000,0 тыс. руб.</w:t>
      </w:r>
    </w:p>
    <w:p w:rsidR="00F85FCE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85FCE" w:rsidRP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3A7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3A77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A77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F85FCE" w:rsidRPr="00763C6F">
        <w:rPr>
          <w:rFonts w:ascii="Times New Roman" w:eastAsia="Calibri" w:hAnsi="Times New Roman" w:cs="Times New Roman"/>
          <w:sz w:val="28"/>
          <w:szCs w:val="28"/>
        </w:rPr>
        <w:t>муниципальных гарантий не планируется.</w:t>
      </w:r>
    </w:p>
    <w:p w:rsidR="005455B9" w:rsidRPr="00420ECD" w:rsidRDefault="005455B9" w:rsidP="00F85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 итогам 202</w:t>
      </w:r>
      <w:r w:rsidR="008615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F8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8615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муниципальный долг прогнозируется в объеме 1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86156B">
        <w:rPr>
          <w:rFonts w:ascii="Times New Roman" w:eastAsia="Times New Roman" w:hAnsi="Times New Roman" w:cs="Times New Roman"/>
          <w:sz w:val="28"/>
          <w:szCs w:val="28"/>
          <w:lang w:eastAsia="ru-RU"/>
        </w:rPr>
        <w:t>687,3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004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615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объема муниципального долга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156B">
        <w:rPr>
          <w:rFonts w:ascii="Times New Roman" w:eastAsia="Times New Roman" w:hAnsi="Times New Roman" w:cs="Times New Roman"/>
          <w:sz w:val="28"/>
          <w:szCs w:val="28"/>
          <w:lang w:eastAsia="ru-RU"/>
        </w:rPr>
        <w:t>639,0</w:t>
      </w:r>
      <w:r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01.01.202</w:t>
      </w:r>
      <w:r w:rsidR="008615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до 1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55000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01.01.202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55B9" w:rsidRPr="00F54B59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 в 202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 структуре муниципального долга прогнозируется снижение доли бюджетных кредитов 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с 7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увеличение доли кредитов кредитных организаций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4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повлечет увеличение расходов городского бюджета на обслуживание муниципального долга.</w:t>
      </w:r>
      <w:proofErr w:type="gramEnd"/>
    </w:p>
    <w:p w:rsidR="005455B9" w:rsidRPr="0070103A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городского бюджета на обслуживание муниципального долга в 202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4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уточненным планом 202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руб.</w:t>
      </w:r>
      <w:r w:rsidR="0074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планируются с увеличением на 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5900</w:t>
      </w:r>
      <w:r w:rsidR="0074626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или в 2,4 раза, которые</w:t>
      </w:r>
      <w:r w:rsidR="0074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составят 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10100</w:t>
      </w:r>
      <w:r w:rsidR="0074626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79F">
        <w:rPr>
          <w:rFonts w:ascii="Times New Roman" w:hAnsi="Times New Roman" w:cs="Times New Roman"/>
          <w:bCs/>
          <w:color w:val="000000"/>
          <w:sz w:val="28"/>
          <w:szCs w:val="28"/>
        </w:rPr>
        <w:t>тыс. руб.</w:t>
      </w:r>
    </w:p>
    <w:p w:rsidR="00913D4D" w:rsidRPr="00BF3565" w:rsidRDefault="005455B9" w:rsidP="0091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3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BF3565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расходы </w:t>
      </w:r>
      <w:r w:rsidR="00BF3565"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обслуживание муниципального долга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в объеме 19600,0 тыс. руб. на 2026 год и 27700,0 тыс. руб. </w:t>
      </w:r>
      <w:r w:rsidR="00E0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 год.</w:t>
      </w:r>
    </w:p>
    <w:p w:rsidR="00913D4D" w:rsidRPr="00350EA2" w:rsidRDefault="00913D4D" w:rsidP="00913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F35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на 202</w:t>
      </w:r>
      <w:r w:rsidR="007E05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E05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исходя из параметров городского бюджета, предусмотренных проектом решения о бюджете, соблюдены требования статьи 1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 в части объема расходов на обслуживание муниципального долга (не превышают 1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расходов, за исключением объема расходов, которые осуществляются за счет субвенций)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5F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 в части</w:t>
      </w:r>
      <w:proofErr w:type="gramEnd"/>
      <w:r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BB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муниципальных заимствований</w:t>
      </w:r>
      <w:r w:rsidR="006A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пункта 5 статьи 107 </w:t>
      </w:r>
      <w:r w:rsidR="006A7FB8" w:rsidRPr="00350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РФ</w:t>
      </w:r>
      <w:r w:rsidR="006A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предельного объема муниципального долга.</w:t>
      </w:r>
    </w:p>
    <w:p w:rsidR="005455B9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5B9" w:rsidRPr="00350EA2" w:rsidRDefault="005455B9" w:rsidP="005455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EA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50EA2">
        <w:rPr>
          <w:rFonts w:ascii="Times New Roman" w:eastAsia="Calibri" w:hAnsi="Times New Roman" w:cs="Times New Roman"/>
          <w:b/>
          <w:bCs/>
          <w:sz w:val="28"/>
          <w:szCs w:val="28"/>
        </w:rPr>
        <w:t>7. Выводы</w:t>
      </w:r>
    </w:p>
    <w:p w:rsidR="00BB4018" w:rsidRDefault="005455B9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5B2A">
        <w:rPr>
          <w:rFonts w:ascii="Times New Roman" w:eastAsia="Calibri" w:hAnsi="Times New Roman" w:cs="Times New Roman"/>
          <w:b/>
          <w:bCs/>
          <w:sz w:val="28"/>
          <w:szCs w:val="28"/>
        </w:rPr>
        <w:t>7.1.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B4018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бюджета на 202</w:t>
      </w:r>
      <w:r w:rsidR="00917041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 xml:space="preserve"> год и плановый период 202</w:t>
      </w:r>
      <w:r w:rsidR="0091704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B401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917041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 xml:space="preserve"> годов </w:t>
      </w:r>
      <w:r w:rsidR="00BB4018">
        <w:rPr>
          <w:rFonts w:ascii="Times New Roman" w:eastAsia="Calibri" w:hAnsi="Times New Roman" w:cs="Times New Roman"/>
          <w:bCs/>
          <w:sz w:val="28"/>
          <w:szCs w:val="28"/>
        </w:rPr>
        <w:t xml:space="preserve">сформирован на основе базового (второго) варианта прогноза социально-экономического развития города Вятские Поляны. </w:t>
      </w:r>
    </w:p>
    <w:p w:rsidR="005455B9" w:rsidRPr="00350EA2" w:rsidRDefault="005455B9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A2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городского бюджета </w:t>
      </w:r>
      <w:r w:rsidR="00BB4018">
        <w:rPr>
          <w:rFonts w:ascii="Times New Roman" w:eastAsia="Times New Roman" w:hAnsi="Times New Roman" w:cs="Times New Roman"/>
          <w:sz w:val="28"/>
          <w:szCs w:val="28"/>
        </w:rPr>
        <w:t>учтены Основные направления налоговой и бюджетной политики муниципального образования на 202</w:t>
      </w:r>
      <w:r w:rsidR="009170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B401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17041">
        <w:rPr>
          <w:rFonts w:ascii="Times New Roman" w:eastAsia="Times New Roman" w:hAnsi="Times New Roman" w:cs="Times New Roman"/>
          <w:sz w:val="28"/>
          <w:szCs w:val="28"/>
        </w:rPr>
        <w:t>7</w:t>
      </w:r>
      <w:r w:rsidR="00BB4018">
        <w:rPr>
          <w:rFonts w:ascii="Times New Roman" w:eastAsia="Times New Roman" w:hAnsi="Times New Roman" w:cs="Times New Roman"/>
          <w:sz w:val="28"/>
          <w:szCs w:val="28"/>
        </w:rPr>
        <w:t xml:space="preserve"> годы, также </w:t>
      </w:r>
      <w:r w:rsidRPr="00350EA2">
        <w:rPr>
          <w:rFonts w:ascii="Times New Roman" w:eastAsia="Times New Roman" w:hAnsi="Times New Roman" w:cs="Times New Roman"/>
          <w:sz w:val="28"/>
          <w:szCs w:val="28"/>
        </w:rPr>
        <w:t xml:space="preserve">соблюдены требования </w:t>
      </w:r>
      <w:r w:rsidRPr="00350EA2">
        <w:rPr>
          <w:rFonts w:ascii="Times New Roman" w:eastAsia="Calibri" w:hAnsi="Times New Roman" w:cs="Times New Roman"/>
          <w:bCs/>
          <w:sz w:val="28"/>
          <w:szCs w:val="28"/>
        </w:rPr>
        <w:t>Бюджетного кодекса</w:t>
      </w:r>
      <w:r w:rsidRPr="00350EA2">
        <w:rPr>
          <w:rFonts w:ascii="Times New Roman" w:eastAsia="Times New Roman" w:hAnsi="Times New Roman" w:cs="Times New Roman"/>
          <w:sz w:val="28"/>
          <w:szCs w:val="28"/>
        </w:rPr>
        <w:t xml:space="preserve"> РФ относительно предельного объема муниципального долга и предельного объема расходов на его обслуживание.</w:t>
      </w:r>
    </w:p>
    <w:p w:rsidR="005455B9" w:rsidRDefault="005455B9" w:rsidP="005455B9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0EA2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141F33" w:rsidRDefault="005455B9" w:rsidP="0014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6C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115B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60B6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60B6C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Pr="00F60B6C">
        <w:rPr>
          <w:rFonts w:ascii="Times New Roman" w:hAnsi="Times New Roman" w:cs="Times New Roman"/>
          <w:sz w:val="28"/>
          <w:szCs w:val="28"/>
        </w:rPr>
        <w:t>бщий объем доходов городского бюджета на 202</w:t>
      </w:r>
      <w:r w:rsidR="00917041">
        <w:rPr>
          <w:rFonts w:ascii="Times New Roman" w:hAnsi="Times New Roman" w:cs="Times New Roman"/>
          <w:sz w:val="28"/>
          <w:szCs w:val="28"/>
        </w:rPr>
        <w:t>5</w:t>
      </w:r>
      <w:r w:rsidRPr="00F60B6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C0B4A">
        <w:rPr>
          <w:rFonts w:ascii="Times New Roman" w:hAnsi="Times New Roman" w:cs="Times New Roman"/>
          <w:sz w:val="28"/>
          <w:szCs w:val="28"/>
        </w:rPr>
        <w:t xml:space="preserve">прогнозируется в </w:t>
      </w:r>
      <w:r w:rsidR="00C7362A" w:rsidRPr="009C0B4A">
        <w:rPr>
          <w:rFonts w:ascii="Times New Roman" w:hAnsi="Times New Roman" w:cs="Times New Roman"/>
          <w:sz w:val="28"/>
          <w:szCs w:val="28"/>
        </w:rPr>
        <w:t>размере</w:t>
      </w:r>
      <w:r w:rsidRPr="009C0B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5206" w:rsidRPr="00D65206">
        <w:rPr>
          <w:rFonts w:ascii="Times New Roman" w:hAnsi="Times New Roman" w:cs="Times New Roman"/>
          <w:sz w:val="28"/>
          <w:szCs w:val="28"/>
        </w:rPr>
        <w:t>1244544,0</w:t>
      </w:r>
      <w:r w:rsidRPr="009C0B4A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315FDB" w:rsidRPr="001B7EC9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315FDB">
        <w:rPr>
          <w:rFonts w:ascii="Times New Roman" w:hAnsi="Times New Roman" w:cs="Times New Roman"/>
          <w:sz w:val="28"/>
          <w:szCs w:val="28"/>
        </w:rPr>
        <w:t>350480,3 тыс. руб. больше первоначального плана на 2024 год и на 208469,6 тыс.</w:t>
      </w:r>
      <w:r w:rsidR="00315FDB" w:rsidRPr="001B7EC9">
        <w:rPr>
          <w:rFonts w:ascii="Times New Roman" w:hAnsi="Times New Roman" w:cs="Times New Roman"/>
          <w:sz w:val="28"/>
          <w:szCs w:val="28"/>
        </w:rPr>
        <w:t xml:space="preserve"> руб</w:t>
      </w:r>
      <w:r w:rsidR="00315FDB">
        <w:rPr>
          <w:rFonts w:ascii="Times New Roman" w:hAnsi="Times New Roman" w:cs="Times New Roman"/>
          <w:sz w:val="28"/>
          <w:szCs w:val="28"/>
        </w:rPr>
        <w:t xml:space="preserve">. больше уточненного плана </w:t>
      </w:r>
      <w:r w:rsidR="00315FDB" w:rsidRPr="001B7EC9">
        <w:rPr>
          <w:rFonts w:ascii="Times New Roman" w:hAnsi="Times New Roman" w:cs="Times New Roman"/>
          <w:sz w:val="28"/>
          <w:szCs w:val="28"/>
        </w:rPr>
        <w:t>20</w:t>
      </w:r>
      <w:r w:rsidR="00315FDB">
        <w:rPr>
          <w:rFonts w:ascii="Times New Roman" w:hAnsi="Times New Roman" w:cs="Times New Roman"/>
          <w:sz w:val="28"/>
          <w:szCs w:val="28"/>
        </w:rPr>
        <w:t>24 года</w:t>
      </w:r>
      <w:r w:rsidR="00315FDB" w:rsidRPr="001B7EC9">
        <w:rPr>
          <w:rFonts w:ascii="Times New Roman" w:hAnsi="Times New Roman" w:cs="Times New Roman"/>
          <w:sz w:val="28"/>
          <w:szCs w:val="28"/>
        </w:rPr>
        <w:t xml:space="preserve">. </w:t>
      </w:r>
      <w:r w:rsidR="00315FDB">
        <w:rPr>
          <w:rFonts w:ascii="Times New Roman" w:hAnsi="Times New Roman" w:cs="Times New Roman"/>
          <w:sz w:val="28"/>
          <w:szCs w:val="28"/>
        </w:rPr>
        <w:t>Увеличение прогнозируемого объема доходов обусловлено планируемым увеличением безвозмездных поступлений.</w:t>
      </w:r>
    </w:p>
    <w:p w:rsidR="00141F33" w:rsidRPr="000673DE" w:rsidRDefault="00141F33" w:rsidP="00141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</w:t>
      </w:r>
      <w:r w:rsidRPr="000673DE">
        <w:rPr>
          <w:rFonts w:ascii="Times New Roman" w:hAnsi="Times New Roman" w:cs="Times New Roman"/>
          <w:sz w:val="28"/>
          <w:szCs w:val="28"/>
        </w:rPr>
        <w:t>звозмездны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0043E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Pr="000673DE">
        <w:rPr>
          <w:rFonts w:ascii="Times New Roman" w:hAnsi="Times New Roman" w:cs="Times New Roman"/>
          <w:sz w:val="28"/>
          <w:szCs w:val="28"/>
        </w:rPr>
        <w:t xml:space="preserve"> на </w:t>
      </w:r>
      <w:r w:rsidRPr="001B7E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B7EC9">
        <w:rPr>
          <w:rFonts w:ascii="Times New Roman" w:hAnsi="Times New Roman" w:cs="Times New Roman"/>
          <w:sz w:val="28"/>
          <w:szCs w:val="28"/>
        </w:rPr>
        <w:t xml:space="preserve"> год спрогнозированы в объеме </w:t>
      </w:r>
      <w:r>
        <w:rPr>
          <w:rFonts w:ascii="Times New Roman" w:hAnsi="Times New Roman" w:cs="Times New Roman"/>
          <w:sz w:val="28"/>
          <w:szCs w:val="28"/>
        </w:rPr>
        <w:t>843748,9 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больше плана </w:t>
      </w:r>
      <w:r w:rsidRPr="001B7EC9">
        <w:rPr>
          <w:rFonts w:ascii="Times New Roman" w:hAnsi="Times New Roman" w:cs="Times New Roman"/>
          <w:sz w:val="28"/>
          <w:szCs w:val="28"/>
        </w:rPr>
        <w:t xml:space="preserve">текущего года на </w:t>
      </w:r>
      <w:r>
        <w:rPr>
          <w:rFonts w:ascii="Times New Roman" w:hAnsi="Times New Roman" w:cs="Times New Roman"/>
          <w:sz w:val="28"/>
          <w:szCs w:val="28"/>
        </w:rPr>
        <w:t>205245,6 тыс</w:t>
      </w:r>
      <w:r w:rsidRPr="001B7EC9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EC9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32,1</w:t>
      </w:r>
      <w:r w:rsidRPr="001B7EC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предоставления </w:t>
      </w:r>
      <w:r w:rsidRPr="000673DE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сумме 103925,0 тыс. руб., увеличения субсидий на осуществление дорожной деятельности на 153875,0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455B9" w:rsidRPr="009C0B4A" w:rsidRDefault="00292B9C" w:rsidP="005455B9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5B9" w:rsidRPr="009C0B4A">
        <w:rPr>
          <w:rFonts w:ascii="Times New Roman" w:hAnsi="Times New Roman" w:cs="Times New Roman"/>
          <w:sz w:val="28"/>
          <w:szCs w:val="28"/>
        </w:rPr>
        <w:t>При этом</w:t>
      </w:r>
      <w:r w:rsidR="009C0B4A" w:rsidRPr="009C0B4A">
        <w:rPr>
          <w:rFonts w:ascii="Times New Roman" w:hAnsi="Times New Roman" w:cs="Times New Roman"/>
          <w:sz w:val="28"/>
          <w:szCs w:val="28"/>
        </w:rPr>
        <w:t xml:space="preserve"> собственные доходы городского бюджета</w:t>
      </w:r>
      <w:r w:rsidR="00C7362A" w:rsidRPr="009C0B4A">
        <w:rPr>
          <w:rFonts w:ascii="Times New Roman" w:hAnsi="Times New Roman" w:cs="Times New Roman"/>
          <w:sz w:val="28"/>
          <w:szCs w:val="28"/>
        </w:rPr>
        <w:t xml:space="preserve"> в 202</w:t>
      </w:r>
      <w:r w:rsidR="00315FDB">
        <w:rPr>
          <w:rFonts w:ascii="Times New Roman" w:hAnsi="Times New Roman" w:cs="Times New Roman"/>
          <w:sz w:val="28"/>
          <w:szCs w:val="28"/>
        </w:rPr>
        <w:t>5</w:t>
      </w:r>
      <w:r w:rsidR="005455B9" w:rsidRPr="009C0B4A">
        <w:rPr>
          <w:rFonts w:ascii="Times New Roman" w:hAnsi="Times New Roman" w:cs="Times New Roman"/>
          <w:sz w:val="28"/>
          <w:szCs w:val="28"/>
        </w:rPr>
        <w:t xml:space="preserve"> году по сравнению с плановыми показателями 202</w:t>
      </w:r>
      <w:r w:rsidR="00315FDB">
        <w:rPr>
          <w:rFonts w:ascii="Times New Roman" w:hAnsi="Times New Roman" w:cs="Times New Roman"/>
          <w:sz w:val="28"/>
          <w:szCs w:val="28"/>
        </w:rPr>
        <w:t>4</w:t>
      </w:r>
      <w:r w:rsidR="005455B9" w:rsidRPr="009C0B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0B4A" w:rsidRPr="009C0B4A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315FDB">
        <w:rPr>
          <w:rFonts w:ascii="Times New Roman" w:hAnsi="Times New Roman" w:cs="Times New Roman"/>
          <w:sz w:val="28"/>
          <w:szCs w:val="28"/>
        </w:rPr>
        <w:t>3224,0</w:t>
      </w:r>
      <w:r w:rsidR="009C0B4A" w:rsidRPr="009C0B4A">
        <w:rPr>
          <w:rFonts w:ascii="Times New Roman" w:hAnsi="Times New Roman" w:cs="Times New Roman"/>
          <w:sz w:val="28"/>
          <w:szCs w:val="28"/>
        </w:rPr>
        <w:t xml:space="preserve"> тыс. руб., и</w:t>
      </w:r>
      <w:r w:rsidR="00315FDB">
        <w:rPr>
          <w:rFonts w:ascii="Times New Roman" w:hAnsi="Times New Roman" w:cs="Times New Roman"/>
          <w:sz w:val="28"/>
          <w:szCs w:val="28"/>
        </w:rPr>
        <w:t>з них рост налоговых доходов спрогнозирован на 21636,0 тыс. руб., или</w:t>
      </w:r>
      <w:r w:rsidR="009C0B4A" w:rsidRPr="009C0B4A">
        <w:rPr>
          <w:rFonts w:ascii="Times New Roman" w:hAnsi="Times New Roman" w:cs="Times New Roman"/>
          <w:sz w:val="28"/>
          <w:szCs w:val="28"/>
        </w:rPr>
        <w:t xml:space="preserve"> на 6</w:t>
      </w:r>
      <w:r w:rsidR="005455B9" w:rsidRPr="009C0B4A">
        <w:rPr>
          <w:rFonts w:ascii="Times New Roman" w:hAnsi="Times New Roman" w:cs="Times New Roman"/>
          <w:sz w:val="28"/>
          <w:szCs w:val="28"/>
        </w:rPr>
        <w:t>,</w:t>
      </w:r>
      <w:r w:rsidR="00315FDB">
        <w:rPr>
          <w:rFonts w:ascii="Times New Roman" w:hAnsi="Times New Roman" w:cs="Times New Roman"/>
          <w:sz w:val="28"/>
          <w:szCs w:val="28"/>
        </w:rPr>
        <w:t>9</w:t>
      </w:r>
      <w:r w:rsidR="005455B9" w:rsidRPr="009C0B4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455B9" w:rsidRDefault="005455B9" w:rsidP="00545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5B9" w:rsidRDefault="005455B9" w:rsidP="0054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5E">
        <w:rPr>
          <w:rFonts w:ascii="Times New Roman" w:hAnsi="Times New Roman" w:cs="Times New Roman"/>
          <w:b/>
          <w:sz w:val="28"/>
          <w:szCs w:val="28"/>
        </w:rPr>
        <w:t>7.</w:t>
      </w:r>
      <w:r w:rsidR="00115B2A">
        <w:rPr>
          <w:rFonts w:ascii="Times New Roman" w:hAnsi="Times New Roman" w:cs="Times New Roman"/>
          <w:b/>
          <w:sz w:val="28"/>
          <w:szCs w:val="28"/>
        </w:rPr>
        <w:t>3</w:t>
      </w:r>
      <w:r w:rsidRPr="003D715E">
        <w:rPr>
          <w:rFonts w:ascii="Times New Roman" w:hAnsi="Times New Roman" w:cs="Times New Roman"/>
          <w:b/>
          <w:sz w:val="28"/>
          <w:szCs w:val="28"/>
        </w:rPr>
        <w:t>.</w:t>
      </w:r>
      <w:r w:rsidRPr="003D715E">
        <w:rPr>
          <w:rFonts w:ascii="Times New Roman" w:hAnsi="Times New Roman" w:cs="Times New Roman"/>
          <w:sz w:val="28"/>
          <w:szCs w:val="28"/>
        </w:rPr>
        <w:t xml:space="preserve"> Расходы городского бюджета на 202</w:t>
      </w:r>
      <w:r w:rsidR="00292B9C">
        <w:rPr>
          <w:rFonts w:ascii="Times New Roman" w:hAnsi="Times New Roman" w:cs="Times New Roman"/>
          <w:sz w:val="28"/>
          <w:szCs w:val="28"/>
        </w:rPr>
        <w:t>5</w:t>
      </w:r>
      <w:r w:rsidRPr="003D715E">
        <w:rPr>
          <w:rFonts w:ascii="Times New Roman" w:hAnsi="Times New Roman" w:cs="Times New Roman"/>
          <w:sz w:val="28"/>
          <w:szCs w:val="28"/>
        </w:rPr>
        <w:t xml:space="preserve"> год </w:t>
      </w:r>
      <w:r w:rsidR="00C7362A">
        <w:rPr>
          <w:rFonts w:ascii="Times New Roman" w:hAnsi="Times New Roman" w:cs="Times New Roman"/>
          <w:sz w:val="28"/>
          <w:szCs w:val="28"/>
        </w:rPr>
        <w:t>предусмотрены</w:t>
      </w:r>
      <w:r w:rsidRPr="003D715E">
        <w:rPr>
          <w:rFonts w:ascii="Times New Roman" w:hAnsi="Times New Roman" w:cs="Times New Roman"/>
          <w:sz w:val="28"/>
          <w:szCs w:val="28"/>
        </w:rPr>
        <w:t xml:space="preserve"> в </w:t>
      </w:r>
      <w:r w:rsidR="00C7362A">
        <w:rPr>
          <w:rFonts w:ascii="Times New Roman" w:hAnsi="Times New Roman" w:cs="Times New Roman"/>
          <w:sz w:val="28"/>
          <w:szCs w:val="28"/>
        </w:rPr>
        <w:t>объеме</w:t>
      </w:r>
      <w:r w:rsidRPr="003D715E">
        <w:rPr>
          <w:rFonts w:ascii="Times New Roman" w:hAnsi="Times New Roman" w:cs="Times New Roman"/>
          <w:sz w:val="28"/>
          <w:szCs w:val="28"/>
        </w:rPr>
        <w:t xml:space="preserve"> </w:t>
      </w:r>
      <w:r w:rsidR="00292B9C">
        <w:rPr>
          <w:rFonts w:ascii="Times New Roman" w:hAnsi="Times New Roman" w:cs="Times New Roman"/>
          <w:sz w:val="28"/>
          <w:szCs w:val="28"/>
        </w:rPr>
        <w:t>1244544,0</w:t>
      </w:r>
      <w:r w:rsidRPr="003D71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455B9" w:rsidRDefault="005455B9" w:rsidP="0054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проекту решения расходы в 202</w:t>
      </w:r>
      <w:r w:rsidR="001355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5584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>
        <w:rPr>
          <w:rFonts w:ascii="Times New Roman" w:hAnsi="Times New Roman" w:cs="Times New Roman"/>
          <w:sz w:val="28"/>
          <w:szCs w:val="28"/>
        </w:rPr>
        <w:t xml:space="preserve">с учетом необходимости </w:t>
      </w:r>
      <w:r w:rsidR="00135584">
        <w:rPr>
          <w:rFonts w:ascii="Times New Roman" w:hAnsi="Times New Roman" w:cs="Times New Roman"/>
          <w:sz w:val="28"/>
          <w:szCs w:val="28"/>
        </w:rPr>
        <w:t xml:space="preserve">выполнения действующих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в полном объеме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средствам </w:t>
      </w:r>
      <w:r w:rsidR="00135584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>
        <w:rPr>
          <w:rFonts w:ascii="Times New Roman" w:hAnsi="Times New Roman" w:cs="Times New Roman"/>
          <w:sz w:val="28"/>
          <w:szCs w:val="28"/>
        </w:rPr>
        <w:t>областного бюджет</w:t>
      </w:r>
      <w:r w:rsidR="0013558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снижения уровня долговой нагрузки городского бюджета и выполнения условий предоставления бюджетн</w:t>
      </w:r>
      <w:r w:rsidR="00FF0E8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F0E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5B9" w:rsidRDefault="005455B9" w:rsidP="0054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4FA" w:rsidRDefault="00115B2A" w:rsidP="00F63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7.4</w:t>
      </w:r>
      <w:r w:rsidR="005455B9" w:rsidRPr="00965F7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455B9" w:rsidRPr="00965F7F">
        <w:rPr>
          <w:rFonts w:ascii="Times New Roman" w:eastAsia="Calibri" w:hAnsi="Times New Roman" w:cs="Times New Roman"/>
          <w:sz w:val="28"/>
          <w:szCs w:val="28"/>
        </w:rPr>
        <w:t>Городской бюджет на 202</w:t>
      </w:r>
      <w:r w:rsidR="00F634FA">
        <w:rPr>
          <w:rFonts w:ascii="Times New Roman" w:eastAsia="Calibri" w:hAnsi="Times New Roman" w:cs="Times New Roman"/>
          <w:sz w:val="28"/>
          <w:szCs w:val="28"/>
        </w:rPr>
        <w:t>5</w:t>
      </w:r>
      <w:r w:rsidR="005455B9" w:rsidRPr="00965F7F">
        <w:rPr>
          <w:rFonts w:ascii="Times New Roman" w:eastAsia="Calibri" w:hAnsi="Times New Roman" w:cs="Times New Roman"/>
          <w:sz w:val="28"/>
          <w:szCs w:val="28"/>
        </w:rPr>
        <w:t xml:space="preserve"> год сформирован с учетом необходимости реализации национальных проектов в соответствии с Указ</w:t>
      </w:r>
      <w:r w:rsidR="00F634FA">
        <w:rPr>
          <w:rFonts w:ascii="Times New Roman" w:eastAsia="Calibri" w:hAnsi="Times New Roman" w:cs="Times New Roman"/>
          <w:sz w:val="28"/>
          <w:szCs w:val="28"/>
        </w:rPr>
        <w:t>ом</w:t>
      </w:r>
      <w:r w:rsidR="005455B9" w:rsidRPr="00965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5B9" w:rsidRPr="00965F7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Президента </w:t>
      </w:r>
      <w:r w:rsidR="00F6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07.05.2024 № 309 «О национальных целях и стратегических задачах развития Российской Федерации на период до 2030 </w:t>
      </w:r>
      <w:r w:rsidR="00F634FA" w:rsidRPr="00D95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6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на перспективу до 2036 года». </w:t>
      </w:r>
    </w:p>
    <w:p w:rsidR="005455B9" w:rsidRPr="00F24FBB" w:rsidRDefault="00F634FA" w:rsidP="00AA4E9E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</w:t>
      </w:r>
      <w:r w:rsidR="000A7C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0A7C5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184147,8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062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рамках двух национальных проектов</w:t>
      </w:r>
      <w:r w:rsidR="000A7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4FA" w:rsidRDefault="00F634FA" w:rsidP="0054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4FA" w:rsidRDefault="00115B2A" w:rsidP="00F6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7.5</w:t>
      </w:r>
      <w:r w:rsidR="005455B9" w:rsidRPr="00F2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городского бюджета на трехлетний период сформирована с учетом реализации 1</w:t>
      </w:r>
      <w:r w:rsidR="00F634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программ. </w:t>
      </w:r>
    </w:p>
    <w:p w:rsidR="00F634FA" w:rsidRPr="00F634FA" w:rsidRDefault="00F634FA" w:rsidP="00F6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 2025 года предусмотрено финансирование двух муниципальных программ: «Профилактика терроризма и экстремизма на территории города Вятские Поляны Кировской области» на 2025-2030 годы и «Обеспечение безопасности жизнедеятельности населения города Вятские Поляны Кировской области» на 2025-2030 годы</w:t>
      </w:r>
      <w:r w:rsidR="007C70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7C70C7">
        <w:rPr>
          <w:rFonts w:ascii="Times New Roman" w:eastAsia="Calibri" w:hAnsi="Times New Roman" w:cs="Times New Roman"/>
          <w:sz w:val="28"/>
          <w:szCs w:val="28"/>
        </w:rPr>
        <w:t>утвержденных</w:t>
      </w:r>
      <w:proofErr w:type="gramEnd"/>
      <w:r w:rsidR="007C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4FA">
        <w:rPr>
          <w:rFonts w:ascii="Times New Roman" w:hAnsi="Times New Roman" w:cs="Times New Roman"/>
          <w:color w:val="000000"/>
          <w:sz w:val="28"/>
          <w:szCs w:val="28"/>
        </w:rPr>
        <w:t>при отсутствии заключения контрольно-счетной комиссии</w:t>
      </w:r>
      <w:r w:rsidR="007C70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5B9" w:rsidRDefault="007C70C7" w:rsidP="00F6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реализацию муниципальных программ запланированы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1245036,0</w:t>
      </w:r>
      <w:r w:rsidR="00FF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F0E80" w:rsidRPr="000A7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5B9" w:rsidRPr="000A7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5B9">
        <w:rPr>
          <w:rFonts w:ascii="Times New Roman" w:eastAsia="Calibri" w:hAnsi="Times New Roman" w:cs="Times New Roman"/>
          <w:sz w:val="28"/>
          <w:szCs w:val="28"/>
        </w:rPr>
        <w:t>Финансирование МП «</w:t>
      </w:r>
      <w:r w:rsidR="005455B9" w:rsidRPr="00706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развитие малого и среднего предпринимательства</w:t>
      </w:r>
      <w:r w:rsidR="005455B9">
        <w:rPr>
          <w:rFonts w:ascii="Times New Roman" w:eastAsia="Calibri" w:hAnsi="Times New Roman" w:cs="Times New Roman"/>
          <w:sz w:val="28"/>
          <w:szCs w:val="28"/>
        </w:rPr>
        <w:t>» проектом бюджета</w:t>
      </w:r>
      <w:r w:rsidR="0077590C">
        <w:rPr>
          <w:rFonts w:ascii="Times New Roman" w:eastAsia="Calibri" w:hAnsi="Times New Roman" w:cs="Times New Roman"/>
          <w:sz w:val="28"/>
          <w:szCs w:val="28"/>
        </w:rPr>
        <w:t>, как и в предыдущие годы, не предусмотрено</w:t>
      </w:r>
      <w:r w:rsidR="005455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55B9" w:rsidRPr="00731158" w:rsidRDefault="005455B9" w:rsidP="002C1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B9" w:rsidRPr="00203B2C" w:rsidRDefault="00115B2A" w:rsidP="002C1B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7C7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455B9" w:rsidRPr="0068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45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бюджет н</w:t>
      </w:r>
      <w:r w:rsidR="005455B9" w:rsidRPr="0067387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5B9" w:rsidRPr="0067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спланирован 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дефицитом в сумме 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 тыс. руб. и с </w:t>
      </w:r>
      <w:r w:rsidR="00140A9C">
        <w:rPr>
          <w:rFonts w:ascii="Times New Roman" w:hAnsi="Times New Roman" w:cs="Times New Roman"/>
          <w:sz w:val="28"/>
          <w:szCs w:val="28"/>
        </w:rPr>
        <w:t>п</w:t>
      </w:r>
      <w:r w:rsidR="00140A9C">
        <w:rPr>
          <w:rFonts w:ascii="Times New Roman" w:eastAsia="Calibri" w:hAnsi="Times New Roman" w:cs="Times New Roman"/>
          <w:sz w:val="28"/>
          <w:szCs w:val="28"/>
        </w:rPr>
        <w:t>рофицитом на среднесрочную перспективу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A9C" w:rsidRPr="00420ECD" w:rsidRDefault="005455B9" w:rsidP="00140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долг по итогам 202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(на 01.01.202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прогнозируется в объеме 1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687,3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</w:t>
      </w:r>
      <w:r w:rsidR="00140A9C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0A9C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0A9C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40A9C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</w:t>
      </w:r>
      <w:r w:rsidR="00140A9C" w:rsidRPr="00D1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объема муниципального долга до </w:t>
      </w:r>
      <w:r w:rsidR="00140A9C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55000,0</w:t>
      </w:r>
      <w:r w:rsidR="00140A9C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01.01.202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0A9C"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55B9" w:rsidRPr="00F54B59" w:rsidRDefault="005455B9" w:rsidP="0054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 в 202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C70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Pr="0042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муниципального долга прогнозируется снижение доли бюджетных кредитов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одновременном 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0F37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кредитов кредитных организаций (до </w:t>
      </w:r>
      <w:r w:rsidR="00CF0E6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состоянию на 01.01.202</w:t>
      </w:r>
      <w:r w:rsidR="00CF0E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811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среднесрочной перспективе повлечет увеличение расходов на обслужив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муниципального долга</w:t>
      </w:r>
      <w:r w:rsidRPr="00F54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5B9" w:rsidRPr="00F60B6C" w:rsidRDefault="005455B9" w:rsidP="0054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0B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обслуживание муниципального долга в 202</w:t>
      </w:r>
      <w:r w:rsidR="00CF0E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прогнозируются в объеме </w:t>
      </w:r>
      <w:r w:rsidR="00CF0E64"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CF0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2,4 раза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уточненного плана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F0E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F0E6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140A9C"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79F">
        <w:rPr>
          <w:rFonts w:ascii="Times New Roman" w:hAnsi="Times New Roman" w:cs="Times New Roman"/>
          <w:bCs/>
          <w:color w:val="000000"/>
          <w:sz w:val="28"/>
          <w:szCs w:val="28"/>
        </w:rPr>
        <w:t>тыс. руб.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5455B9" w:rsidRPr="00254866" w:rsidRDefault="005455B9" w:rsidP="005455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B27" w:rsidRDefault="00A81B27" w:rsidP="00A81B27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861132">
        <w:rPr>
          <w:rFonts w:ascii="Times New Roman" w:eastAsia="Calibri" w:hAnsi="Times New Roman" w:cs="Times New Roman"/>
          <w:sz w:val="28"/>
          <w:szCs w:val="28"/>
          <w:lang w:bidi="en-US"/>
        </w:rPr>
        <w:t>С учетом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замечаний и предложений, изложенных в настоящем заключении, к</w:t>
      </w:r>
      <w:r w:rsidRPr="005704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онтрольно-счетная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комиссия считает возможным </w:t>
      </w:r>
      <w:r w:rsidRPr="007637C2">
        <w:rPr>
          <w:rFonts w:ascii="Times New Roman" w:eastAsia="Times New Roman" w:hAnsi="Times New Roman" w:cs="Times New Roman"/>
          <w:sz w:val="28"/>
          <w:szCs w:val="28"/>
        </w:rPr>
        <w:t>принятие решения Вятскополянской городской Думы «О бюджете муниципального образования городского округа город Вятские Поляны Кировской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637C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7637C2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637C2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5455B9" w:rsidRDefault="005455B9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1B27" w:rsidRDefault="00A81B27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0A9C" w:rsidRPr="007637C2" w:rsidRDefault="00140A9C" w:rsidP="00545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55B9" w:rsidRDefault="005455B9" w:rsidP="005455B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Pr="005704C0">
        <w:rPr>
          <w:rFonts w:ascii="Times New Roman" w:eastAsia="Calibri" w:hAnsi="Times New Roman" w:cs="Times New Roman"/>
          <w:sz w:val="28"/>
          <w:szCs w:val="28"/>
          <w:lang w:bidi="en-US"/>
        </w:rPr>
        <w:t>редседатель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</w:t>
      </w:r>
      <w:r w:rsidRPr="005704C0">
        <w:rPr>
          <w:rFonts w:ascii="Times New Roman" w:eastAsia="Calibri" w:hAnsi="Times New Roman" w:cs="Times New Roman"/>
          <w:sz w:val="28"/>
          <w:szCs w:val="28"/>
          <w:lang w:bidi="en-US"/>
        </w:rPr>
        <w:t>онтрольно-</w:t>
      </w:r>
    </w:p>
    <w:p w:rsidR="005455B9" w:rsidRPr="005704C0" w:rsidRDefault="005455B9" w:rsidP="00D7162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4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счетной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комиссии города Вятские Поляны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          Л.Г.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Партола</w:t>
      </w:r>
      <w:proofErr w:type="spellEnd"/>
    </w:p>
    <w:sectPr w:rsidR="005455B9" w:rsidRPr="005704C0" w:rsidSect="0068154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52" w:rsidRDefault="00D03152" w:rsidP="00681545">
      <w:pPr>
        <w:spacing w:after="0" w:line="240" w:lineRule="auto"/>
      </w:pPr>
      <w:r>
        <w:separator/>
      </w:r>
    </w:p>
  </w:endnote>
  <w:endnote w:type="continuationSeparator" w:id="0">
    <w:p w:rsidR="00D03152" w:rsidRDefault="00D03152" w:rsidP="0068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52" w:rsidRDefault="00D03152" w:rsidP="00681545">
      <w:pPr>
        <w:spacing w:after="0" w:line="240" w:lineRule="auto"/>
      </w:pPr>
      <w:r>
        <w:separator/>
      </w:r>
    </w:p>
  </w:footnote>
  <w:footnote w:type="continuationSeparator" w:id="0">
    <w:p w:rsidR="00D03152" w:rsidRDefault="00D03152" w:rsidP="0068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941834"/>
      <w:docPartObj>
        <w:docPartGallery w:val="Page Numbers (Top of Page)"/>
        <w:docPartUnique/>
      </w:docPartObj>
    </w:sdtPr>
    <w:sdtContent>
      <w:p w:rsidR="00AD3839" w:rsidRDefault="00AD3839">
        <w:pPr>
          <w:pStyle w:val="a5"/>
          <w:jc w:val="center"/>
        </w:pPr>
        <w:fldSimple w:instr="PAGE   \* MERGEFORMAT">
          <w:r w:rsidR="00E3686F">
            <w:rPr>
              <w:noProof/>
            </w:rPr>
            <w:t>28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123255"/>
    <w:multiLevelType w:val="hybridMultilevel"/>
    <w:tmpl w:val="A4803BEA"/>
    <w:lvl w:ilvl="0" w:tplc="606C84D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2F2E3601"/>
    <w:multiLevelType w:val="hybridMultilevel"/>
    <w:tmpl w:val="C92ACD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73BE"/>
    <w:multiLevelType w:val="hybridMultilevel"/>
    <w:tmpl w:val="B0845EB6"/>
    <w:lvl w:ilvl="0" w:tplc="E81C15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933D39"/>
    <w:multiLevelType w:val="hybridMultilevel"/>
    <w:tmpl w:val="FD20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5DA265B1"/>
    <w:multiLevelType w:val="hybridMultilevel"/>
    <w:tmpl w:val="97D65842"/>
    <w:lvl w:ilvl="0" w:tplc="D660BDB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5"/>
  </w:num>
  <w:num w:numId="5">
    <w:abstractNumId w:val="12"/>
  </w:num>
  <w:num w:numId="6">
    <w:abstractNumId w:val="13"/>
  </w:num>
  <w:num w:numId="7">
    <w:abstractNumId w:val="25"/>
  </w:num>
  <w:num w:numId="8">
    <w:abstractNumId w:val="0"/>
  </w:num>
  <w:num w:numId="9">
    <w:abstractNumId w:val="23"/>
  </w:num>
  <w:num w:numId="10">
    <w:abstractNumId w:val="4"/>
  </w:num>
  <w:num w:numId="11">
    <w:abstractNumId w:val="8"/>
  </w:num>
  <w:num w:numId="12">
    <w:abstractNumId w:val="21"/>
  </w:num>
  <w:num w:numId="13">
    <w:abstractNumId w:val="20"/>
  </w:num>
  <w:num w:numId="14">
    <w:abstractNumId w:val="24"/>
  </w:num>
  <w:num w:numId="15">
    <w:abstractNumId w:val="2"/>
  </w:num>
  <w:num w:numId="16">
    <w:abstractNumId w:val="16"/>
  </w:num>
  <w:num w:numId="17">
    <w:abstractNumId w:val="3"/>
  </w:num>
  <w:num w:numId="18">
    <w:abstractNumId w:val="18"/>
  </w:num>
  <w:num w:numId="19">
    <w:abstractNumId w:val="6"/>
  </w:num>
  <w:num w:numId="20">
    <w:abstractNumId w:val="19"/>
  </w:num>
  <w:num w:numId="21">
    <w:abstractNumId w:val="22"/>
  </w:num>
  <w:num w:numId="22">
    <w:abstractNumId w:val="11"/>
  </w:num>
  <w:num w:numId="23">
    <w:abstractNumId w:val="10"/>
  </w:num>
  <w:num w:numId="24">
    <w:abstractNumId w:val="9"/>
  </w:num>
  <w:num w:numId="25">
    <w:abstractNumId w:val="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3D19"/>
    <w:rsid w:val="0000344E"/>
    <w:rsid w:val="0000532C"/>
    <w:rsid w:val="000065DF"/>
    <w:rsid w:val="00006F94"/>
    <w:rsid w:val="0000797B"/>
    <w:rsid w:val="00010B7B"/>
    <w:rsid w:val="00012CBD"/>
    <w:rsid w:val="00012D1B"/>
    <w:rsid w:val="0001493E"/>
    <w:rsid w:val="00015316"/>
    <w:rsid w:val="00015F20"/>
    <w:rsid w:val="00020124"/>
    <w:rsid w:val="00020576"/>
    <w:rsid w:val="00021120"/>
    <w:rsid w:val="0003019E"/>
    <w:rsid w:val="00030FC4"/>
    <w:rsid w:val="00031283"/>
    <w:rsid w:val="00033005"/>
    <w:rsid w:val="00037EC4"/>
    <w:rsid w:val="00041716"/>
    <w:rsid w:val="00041722"/>
    <w:rsid w:val="00041D0B"/>
    <w:rsid w:val="000422A3"/>
    <w:rsid w:val="00042488"/>
    <w:rsid w:val="000453CD"/>
    <w:rsid w:val="00046421"/>
    <w:rsid w:val="000467A5"/>
    <w:rsid w:val="00050FC1"/>
    <w:rsid w:val="0005135E"/>
    <w:rsid w:val="00051AEC"/>
    <w:rsid w:val="00051B2C"/>
    <w:rsid w:val="0006040E"/>
    <w:rsid w:val="00062607"/>
    <w:rsid w:val="000669E1"/>
    <w:rsid w:val="000673DE"/>
    <w:rsid w:val="00070452"/>
    <w:rsid w:val="0007129C"/>
    <w:rsid w:val="00072999"/>
    <w:rsid w:val="00073D6F"/>
    <w:rsid w:val="00076C58"/>
    <w:rsid w:val="0008178C"/>
    <w:rsid w:val="00081D6E"/>
    <w:rsid w:val="000834FC"/>
    <w:rsid w:val="0008543B"/>
    <w:rsid w:val="0008646F"/>
    <w:rsid w:val="00093315"/>
    <w:rsid w:val="000935A9"/>
    <w:rsid w:val="000956A7"/>
    <w:rsid w:val="00097DD3"/>
    <w:rsid w:val="000A025A"/>
    <w:rsid w:val="000A2A51"/>
    <w:rsid w:val="000A2C49"/>
    <w:rsid w:val="000A33F0"/>
    <w:rsid w:val="000A43B6"/>
    <w:rsid w:val="000A4426"/>
    <w:rsid w:val="000A514C"/>
    <w:rsid w:val="000A5EDF"/>
    <w:rsid w:val="000A7C5A"/>
    <w:rsid w:val="000B12D1"/>
    <w:rsid w:val="000B21AF"/>
    <w:rsid w:val="000B2716"/>
    <w:rsid w:val="000B3C3B"/>
    <w:rsid w:val="000B4E0F"/>
    <w:rsid w:val="000B6780"/>
    <w:rsid w:val="000B759F"/>
    <w:rsid w:val="000C064E"/>
    <w:rsid w:val="000C2D38"/>
    <w:rsid w:val="000C2EAD"/>
    <w:rsid w:val="000C3EC1"/>
    <w:rsid w:val="000C40E5"/>
    <w:rsid w:val="000C5A63"/>
    <w:rsid w:val="000D4E19"/>
    <w:rsid w:val="000D559B"/>
    <w:rsid w:val="000E2839"/>
    <w:rsid w:val="000E749E"/>
    <w:rsid w:val="000E7745"/>
    <w:rsid w:val="000F11FC"/>
    <w:rsid w:val="000F19F3"/>
    <w:rsid w:val="000F2ADD"/>
    <w:rsid w:val="000F3795"/>
    <w:rsid w:val="000F434C"/>
    <w:rsid w:val="000F4613"/>
    <w:rsid w:val="000F7D1A"/>
    <w:rsid w:val="0010257A"/>
    <w:rsid w:val="00103B9A"/>
    <w:rsid w:val="0010696F"/>
    <w:rsid w:val="001103A1"/>
    <w:rsid w:val="00115B2A"/>
    <w:rsid w:val="00120748"/>
    <w:rsid w:val="0012287A"/>
    <w:rsid w:val="00122D99"/>
    <w:rsid w:val="0012310C"/>
    <w:rsid w:val="00123F86"/>
    <w:rsid w:val="00124C3D"/>
    <w:rsid w:val="001252AB"/>
    <w:rsid w:val="001264A6"/>
    <w:rsid w:val="00133661"/>
    <w:rsid w:val="00135584"/>
    <w:rsid w:val="00136C2D"/>
    <w:rsid w:val="0013704A"/>
    <w:rsid w:val="00140A9C"/>
    <w:rsid w:val="00140E69"/>
    <w:rsid w:val="00141F33"/>
    <w:rsid w:val="00145CB9"/>
    <w:rsid w:val="00151DDA"/>
    <w:rsid w:val="001521EE"/>
    <w:rsid w:val="00155284"/>
    <w:rsid w:val="00157DEE"/>
    <w:rsid w:val="00165970"/>
    <w:rsid w:val="00167BD2"/>
    <w:rsid w:val="00170642"/>
    <w:rsid w:val="00170A8C"/>
    <w:rsid w:val="00172ACB"/>
    <w:rsid w:val="00174C7F"/>
    <w:rsid w:val="001766E6"/>
    <w:rsid w:val="00181A9C"/>
    <w:rsid w:val="00184DE5"/>
    <w:rsid w:val="00195AF8"/>
    <w:rsid w:val="001A06BA"/>
    <w:rsid w:val="001A0B30"/>
    <w:rsid w:val="001A2120"/>
    <w:rsid w:val="001A5795"/>
    <w:rsid w:val="001A6FAE"/>
    <w:rsid w:val="001B4009"/>
    <w:rsid w:val="001B7BB9"/>
    <w:rsid w:val="001C0AAF"/>
    <w:rsid w:val="001C1FF6"/>
    <w:rsid w:val="001D0314"/>
    <w:rsid w:val="001D360D"/>
    <w:rsid w:val="001D3BDD"/>
    <w:rsid w:val="001D5C53"/>
    <w:rsid w:val="001D7C88"/>
    <w:rsid w:val="001E2222"/>
    <w:rsid w:val="001E285E"/>
    <w:rsid w:val="001E4FE7"/>
    <w:rsid w:val="001E5D70"/>
    <w:rsid w:val="001E5F8B"/>
    <w:rsid w:val="001E71E6"/>
    <w:rsid w:val="001E7505"/>
    <w:rsid w:val="001E76C1"/>
    <w:rsid w:val="001F0E92"/>
    <w:rsid w:val="001F4FAE"/>
    <w:rsid w:val="001F52CB"/>
    <w:rsid w:val="001F653B"/>
    <w:rsid w:val="00200CF7"/>
    <w:rsid w:val="00200FD2"/>
    <w:rsid w:val="00201E99"/>
    <w:rsid w:val="00207081"/>
    <w:rsid w:val="002116B3"/>
    <w:rsid w:val="002139BC"/>
    <w:rsid w:val="00213B05"/>
    <w:rsid w:val="00213F2E"/>
    <w:rsid w:val="00214EBF"/>
    <w:rsid w:val="00215C92"/>
    <w:rsid w:val="002164B0"/>
    <w:rsid w:val="00220BA7"/>
    <w:rsid w:val="0022552B"/>
    <w:rsid w:val="00231A60"/>
    <w:rsid w:val="002332D1"/>
    <w:rsid w:val="0023347A"/>
    <w:rsid w:val="0023582F"/>
    <w:rsid w:val="002359B8"/>
    <w:rsid w:val="002425F8"/>
    <w:rsid w:val="00245ACF"/>
    <w:rsid w:val="0024640F"/>
    <w:rsid w:val="002468F5"/>
    <w:rsid w:val="0025294F"/>
    <w:rsid w:val="00252FDC"/>
    <w:rsid w:val="00254866"/>
    <w:rsid w:val="002548C3"/>
    <w:rsid w:val="00257B2A"/>
    <w:rsid w:val="00257D61"/>
    <w:rsid w:val="002616ED"/>
    <w:rsid w:val="002618C5"/>
    <w:rsid w:val="00262EBC"/>
    <w:rsid w:val="002630DD"/>
    <w:rsid w:val="00263F7A"/>
    <w:rsid w:val="00274ED0"/>
    <w:rsid w:val="00275BD5"/>
    <w:rsid w:val="0028002C"/>
    <w:rsid w:val="00280133"/>
    <w:rsid w:val="00280167"/>
    <w:rsid w:val="002814EA"/>
    <w:rsid w:val="0028256E"/>
    <w:rsid w:val="002827BB"/>
    <w:rsid w:val="002877EB"/>
    <w:rsid w:val="00287A67"/>
    <w:rsid w:val="002904E1"/>
    <w:rsid w:val="00290831"/>
    <w:rsid w:val="0029176F"/>
    <w:rsid w:val="0029186D"/>
    <w:rsid w:val="00291D5C"/>
    <w:rsid w:val="00292B9C"/>
    <w:rsid w:val="00292DD9"/>
    <w:rsid w:val="00295701"/>
    <w:rsid w:val="0029645B"/>
    <w:rsid w:val="00297229"/>
    <w:rsid w:val="00297F92"/>
    <w:rsid w:val="002A18B5"/>
    <w:rsid w:val="002A37F8"/>
    <w:rsid w:val="002A6794"/>
    <w:rsid w:val="002A6AC5"/>
    <w:rsid w:val="002B0082"/>
    <w:rsid w:val="002B0456"/>
    <w:rsid w:val="002B060B"/>
    <w:rsid w:val="002B168F"/>
    <w:rsid w:val="002B184A"/>
    <w:rsid w:val="002B6967"/>
    <w:rsid w:val="002B77E3"/>
    <w:rsid w:val="002C139F"/>
    <w:rsid w:val="002C1BDB"/>
    <w:rsid w:val="002C25E6"/>
    <w:rsid w:val="002C3191"/>
    <w:rsid w:val="002D0398"/>
    <w:rsid w:val="002D448C"/>
    <w:rsid w:val="002D4964"/>
    <w:rsid w:val="002D63A6"/>
    <w:rsid w:val="002E07C5"/>
    <w:rsid w:val="002E13EE"/>
    <w:rsid w:val="002E173E"/>
    <w:rsid w:val="002E4BD5"/>
    <w:rsid w:val="002F0A32"/>
    <w:rsid w:val="002F1A5A"/>
    <w:rsid w:val="002F2146"/>
    <w:rsid w:val="002F3DE6"/>
    <w:rsid w:val="002F51B4"/>
    <w:rsid w:val="002F59CD"/>
    <w:rsid w:val="0030179D"/>
    <w:rsid w:val="00304E1E"/>
    <w:rsid w:val="003079A8"/>
    <w:rsid w:val="003107C5"/>
    <w:rsid w:val="00314A8A"/>
    <w:rsid w:val="00315FDB"/>
    <w:rsid w:val="00317749"/>
    <w:rsid w:val="00320A72"/>
    <w:rsid w:val="00321137"/>
    <w:rsid w:val="0032493E"/>
    <w:rsid w:val="003272C3"/>
    <w:rsid w:val="00327501"/>
    <w:rsid w:val="00335D8E"/>
    <w:rsid w:val="0033737D"/>
    <w:rsid w:val="00337602"/>
    <w:rsid w:val="00340857"/>
    <w:rsid w:val="00340A8B"/>
    <w:rsid w:val="003411D6"/>
    <w:rsid w:val="003450F2"/>
    <w:rsid w:val="00346AFF"/>
    <w:rsid w:val="0034768C"/>
    <w:rsid w:val="00350A5D"/>
    <w:rsid w:val="00350E0F"/>
    <w:rsid w:val="00351821"/>
    <w:rsid w:val="00351FB6"/>
    <w:rsid w:val="0035422B"/>
    <w:rsid w:val="00354C3D"/>
    <w:rsid w:val="00355F2B"/>
    <w:rsid w:val="003616CF"/>
    <w:rsid w:val="003625A3"/>
    <w:rsid w:val="00364EE4"/>
    <w:rsid w:val="00365EFA"/>
    <w:rsid w:val="00367D50"/>
    <w:rsid w:val="00367DBF"/>
    <w:rsid w:val="00372D7C"/>
    <w:rsid w:val="00375265"/>
    <w:rsid w:val="003752BA"/>
    <w:rsid w:val="00376D09"/>
    <w:rsid w:val="00377AA1"/>
    <w:rsid w:val="00381954"/>
    <w:rsid w:val="003859D4"/>
    <w:rsid w:val="00386966"/>
    <w:rsid w:val="00386CC0"/>
    <w:rsid w:val="003946EC"/>
    <w:rsid w:val="00397009"/>
    <w:rsid w:val="003A01E6"/>
    <w:rsid w:val="003A2236"/>
    <w:rsid w:val="003A61E4"/>
    <w:rsid w:val="003A6422"/>
    <w:rsid w:val="003A7780"/>
    <w:rsid w:val="003B0DD6"/>
    <w:rsid w:val="003B189C"/>
    <w:rsid w:val="003B1BD2"/>
    <w:rsid w:val="003B29FC"/>
    <w:rsid w:val="003B5A4C"/>
    <w:rsid w:val="003B6EB7"/>
    <w:rsid w:val="003C010D"/>
    <w:rsid w:val="003C432C"/>
    <w:rsid w:val="003C4EE0"/>
    <w:rsid w:val="003D022F"/>
    <w:rsid w:val="003D20A7"/>
    <w:rsid w:val="003D732B"/>
    <w:rsid w:val="003D7381"/>
    <w:rsid w:val="003E1F71"/>
    <w:rsid w:val="003E242D"/>
    <w:rsid w:val="003E244F"/>
    <w:rsid w:val="003E475E"/>
    <w:rsid w:val="003E5560"/>
    <w:rsid w:val="003E6AB8"/>
    <w:rsid w:val="003E79E4"/>
    <w:rsid w:val="003F0A8A"/>
    <w:rsid w:val="003F1DAE"/>
    <w:rsid w:val="003F1F68"/>
    <w:rsid w:val="003F599D"/>
    <w:rsid w:val="00400F73"/>
    <w:rsid w:val="00402551"/>
    <w:rsid w:val="004037B0"/>
    <w:rsid w:val="0041153A"/>
    <w:rsid w:val="00415676"/>
    <w:rsid w:val="00416441"/>
    <w:rsid w:val="00421089"/>
    <w:rsid w:val="004225E3"/>
    <w:rsid w:val="00422ED8"/>
    <w:rsid w:val="00423445"/>
    <w:rsid w:val="00423D5E"/>
    <w:rsid w:val="00430595"/>
    <w:rsid w:val="0043254D"/>
    <w:rsid w:val="00433979"/>
    <w:rsid w:val="00433C0C"/>
    <w:rsid w:val="00434BF2"/>
    <w:rsid w:val="004376D3"/>
    <w:rsid w:val="0044241C"/>
    <w:rsid w:val="00444031"/>
    <w:rsid w:val="004440EB"/>
    <w:rsid w:val="00445557"/>
    <w:rsid w:val="004473EC"/>
    <w:rsid w:val="004477FD"/>
    <w:rsid w:val="00447E5A"/>
    <w:rsid w:val="00453FBC"/>
    <w:rsid w:val="004567D0"/>
    <w:rsid w:val="004624D2"/>
    <w:rsid w:val="004652CA"/>
    <w:rsid w:val="00465E44"/>
    <w:rsid w:val="0046658D"/>
    <w:rsid w:val="0046687C"/>
    <w:rsid w:val="004725B5"/>
    <w:rsid w:val="004734C8"/>
    <w:rsid w:val="004736B0"/>
    <w:rsid w:val="00477801"/>
    <w:rsid w:val="0048535B"/>
    <w:rsid w:val="004866F1"/>
    <w:rsid w:val="00493862"/>
    <w:rsid w:val="004A09BB"/>
    <w:rsid w:val="004A44D4"/>
    <w:rsid w:val="004A4CA1"/>
    <w:rsid w:val="004B43A3"/>
    <w:rsid w:val="004B7237"/>
    <w:rsid w:val="004C1B95"/>
    <w:rsid w:val="004C44C5"/>
    <w:rsid w:val="004C513C"/>
    <w:rsid w:val="004C5A23"/>
    <w:rsid w:val="004D0730"/>
    <w:rsid w:val="004D12DB"/>
    <w:rsid w:val="004D2AEB"/>
    <w:rsid w:val="004D4B2E"/>
    <w:rsid w:val="004D5F2F"/>
    <w:rsid w:val="004D72D6"/>
    <w:rsid w:val="004E1A5D"/>
    <w:rsid w:val="004F375E"/>
    <w:rsid w:val="004F3A63"/>
    <w:rsid w:val="004F4518"/>
    <w:rsid w:val="004F510D"/>
    <w:rsid w:val="004F56B7"/>
    <w:rsid w:val="004F6AE0"/>
    <w:rsid w:val="004F74B9"/>
    <w:rsid w:val="004F78D7"/>
    <w:rsid w:val="004F7B29"/>
    <w:rsid w:val="00500A67"/>
    <w:rsid w:val="0050651C"/>
    <w:rsid w:val="00506647"/>
    <w:rsid w:val="00512D5E"/>
    <w:rsid w:val="005137AD"/>
    <w:rsid w:val="0051453E"/>
    <w:rsid w:val="005150F6"/>
    <w:rsid w:val="005155C0"/>
    <w:rsid w:val="005163AA"/>
    <w:rsid w:val="00517C25"/>
    <w:rsid w:val="00523954"/>
    <w:rsid w:val="00526DBA"/>
    <w:rsid w:val="00527D2D"/>
    <w:rsid w:val="00530084"/>
    <w:rsid w:val="00532FF7"/>
    <w:rsid w:val="00536FD7"/>
    <w:rsid w:val="00540C4B"/>
    <w:rsid w:val="005422EC"/>
    <w:rsid w:val="00542B3F"/>
    <w:rsid w:val="005440BA"/>
    <w:rsid w:val="0054543E"/>
    <w:rsid w:val="005455B9"/>
    <w:rsid w:val="00551488"/>
    <w:rsid w:val="00554847"/>
    <w:rsid w:val="0055629E"/>
    <w:rsid w:val="00556542"/>
    <w:rsid w:val="00560BE4"/>
    <w:rsid w:val="005611C9"/>
    <w:rsid w:val="00561F6D"/>
    <w:rsid w:val="0056293F"/>
    <w:rsid w:val="00565584"/>
    <w:rsid w:val="005657B7"/>
    <w:rsid w:val="005704C0"/>
    <w:rsid w:val="00572940"/>
    <w:rsid w:val="00575278"/>
    <w:rsid w:val="00576243"/>
    <w:rsid w:val="00580857"/>
    <w:rsid w:val="0058308C"/>
    <w:rsid w:val="005866C3"/>
    <w:rsid w:val="005917D7"/>
    <w:rsid w:val="00592070"/>
    <w:rsid w:val="00592285"/>
    <w:rsid w:val="00593AEC"/>
    <w:rsid w:val="00593D27"/>
    <w:rsid w:val="0059477B"/>
    <w:rsid w:val="00595AEC"/>
    <w:rsid w:val="005A132C"/>
    <w:rsid w:val="005A28FE"/>
    <w:rsid w:val="005A2A51"/>
    <w:rsid w:val="005A4894"/>
    <w:rsid w:val="005A53C5"/>
    <w:rsid w:val="005A569B"/>
    <w:rsid w:val="005A795A"/>
    <w:rsid w:val="005B0316"/>
    <w:rsid w:val="005B15CC"/>
    <w:rsid w:val="005B2AE4"/>
    <w:rsid w:val="005B30A4"/>
    <w:rsid w:val="005B35A0"/>
    <w:rsid w:val="005B3A8B"/>
    <w:rsid w:val="005B494D"/>
    <w:rsid w:val="005B5576"/>
    <w:rsid w:val="005B55D1"/>
    <w:rsid w:val="005B639B"/>
    <w:rsid w:val="005B7B72"/>
    <w:rsid w:val="005C22E3"/>
    <w:rsid w:val="005C300E"/>
    <w:rsid w:val="005C5F2A"/>
    <w:rsid w:val="005C7063"/>
    <w:rsid w:val="005C7EF0"/>
    <w:rsid w:val="005D0473"/>
    <w:rsid w:val="005D4F28"/>
    <w:rsid w:val="005D6A72"/>
    <w:rsid w:val="005D6C34"/>
    <w:rsid w:val="005E0DF8"/>
    <w:rsid w:val="005E264D"/>
    <w:rsid w:val="005E26FC"/>
    <w:rsid w:val="005E2B41"/>
    <w:rsid w:val="005E6EEE"/>
    <w:rsid w:val="005F2629"/>
    <w:rsid w:val="005F59DB"/>
    <w:rsid w:val="005F7B18"/>
    <w:rsid w:val="006004BA"/>
    <w:rsid w:val="0060203D"/>
    <w:rsid w:val="0060401C"/>
    <w:rsid w:val="00606621"/>
    <w:rsid w:val="00610DB2"/>
    <w:rsid w:val="00613CF1"/>
    <w:rsid w:val="006174B8"/>
    <w:rsid w:val="00617C3D"/>
    <w:rsid w:val="006207B1"/>
    <w:rsid w:val="00621320"/>
    <w:rsid w:val="0062159F"/>
    <w:rsid w:val="00621EB8"/>
    <w:rsid w:val="00623D19"/>
    <w:rsid w:val="00625F40"/>
    <w:rsid w:val="006312F1"/>
    <w:rsid w:val="00632A2C"/>
    <w:rsid w:val="00634E00"/>
    <w:rsid w:val="006353AB"/>
    <w:rsid w:val="00635B55"/>
    <w:rsid w:val="00641070"/>
    <w:rsid w:val="00641967"/>
    <w:rsid w:val="0064268D"/>
    <w:rsid w:val="00642745"/>
    <w:rsid w:val="006431B7"/>
    <w:rsid w:val="0064514D"/>
    <w:rsid w:val="006459BE"/>
    <w:rsid w:val="00652A30"/>
    <w:rsid w:val="00654B91"/>
    <w:rsid w:val="006569F7"/>
    <w:rsid w:val="00656EDC"/>
    <w:rsid w:val="00665E2F"/>
    <w:rsid w:val="00666636"/>
    <w:rsid w:val="0067032B"/>
    <w:rsid w:val="00674A6B"/>
    <w:rsid w:val="00681545"/>
    <w:rsid w:val="00681856"/>
    <w:rsid w:val="00683C19"/>
    <w:rsid w:val="0068537E"/>
    <w:rsid w:val="006866E2"/>
    <w:rsid w:val="0068673F"/>
    <w:rsid w:val="0069260A"/>
    <w:rsid w:val="00696D7E"/>
    <w:rsid w:val="006A04CA"/>
    <w:rsid w:val="006A089E"/>
    <w:rsid w:val="006A2C8F"/>
    <w:rsid w:val="006A7FB8"/>
    <w:rsid w:val="006B057A"/>
    <w:rsid w:val="006B0E04"/>
    <w:rsid w:val="006B0E5D"/>
    <w:rsid w:val="006B132A"/>
    <w:rsid w:val="006B2C9D"/>
    <w:rsid w:val="006B4337"/>
    <w:rsid w:val="006B4FE6"/>
    <w:rsid w:val="006B5BDE"/>
    <w:rsid w:val="006B7E95"/>
    <w:rsid w:val="006C2FCB"/>
    <w:rsid w:val="006C34D5"/>
    <w:rsid w:val="006C5395"/>
    <w:rsid w:val="006C69A0"/>
    <w:rsid w:val="006C73A3"/>
    <w:rsid w:val="006D1307"/>
    <w:rsid w:val="006D3A58"/>
    <w:rsid w:val="006D59B9"/>
    <w:rsid w:val="006E1CE3"/>
    <w:rsid w:val="006E3261"/>
    <w:rsid w:val="006E56EB"/>
    <w:rsid w:val="006E7B47"/>
    <w:rsid w:val="006E7F09"/>
    <w:rsid w:val="006F0E44"/>
    <w:rsid w:val="006F4D45"/>
    <w:rsid w:val="006F5D30"/>
    <w:rsid w:val="006F635B"/>
    <w:rsid w:val="007058ED"/>
    <w:rsid w:val="007067CA"/>
    <w:rsid w:val="00713AED"/>
    <w:rsid w:val="00721054"/>
    <w:rsid w:val="007244C3"/>
    <w:rsid w:val="00724B18"/>
    <w:rsid w:val="00725FB2"/>
    <w:rsid w:val="00730D5F"/>
    <w:rsid w:val="00733338"/>
    <w:rsid w:val="00740E6D"/>
    <w:rsid w:val="00743B9F"/>
    <w:rsid w:val="00744A9D"/>
    <w:rsid w:val="00746268"/>
    <w:rsid w:val="00747057"/>
    <w:rsid w:val="00750AA9"/>
    <w:rsid w:val="00750CE4"/>
    <w:rsid w:val="007525B5"/>
    <w:rsid w:val="00754922"/>
    <w:rsid w:val="00760BF0"/>
    <w:rsid w:val="007748F0"/>
    <w:rsid w:val="00774B96"/>
    <w:rsid w:val="0077590C"/>
    <w:rsid w:val="0077771E"/>
    <w:rsid w:val="00780608"/>
    <w:rsid w:val="00781D91"/>
    <w:rsid w:val="007820A0"/>
    <w:rsid w:val="00790312"/>
    <w:rsid w:val="00794283"/>
    <w:rsid w:val="0079608F"/>
    <w:rsid w:val="007A1AC8"/>
    <w:rsid w:val="007A1EB5"/>
    <w:rsid w:val="007A1F07"/>
    <w:rsid w:val="007A3D6F"/>
    <w:rsid w:val="007B0B28"/>
    <w:rsid w:val="007B1F97"/>
    <w:rsid w:val="007B379D"/>
    <w:rsid w:val="007B4CF0"/>
    <w:rsid w:val="007B529D"/>
    <w:rsid w:val="007C19CB"/>
    <w:rsid w:val="007C54DA"/>
    <w:rsid w:val="007C70C7"/>
    <w:rsid w:val="007D3533"/>
    <w:rsid w:val="007D48AB"/>
    <w:rsid w:val="007D5597"/>
    <w:rsid w:val="007D5699"/>
    <w:rsid w:val="007D641E"/>
    <w:rsid w:val="007E051E"/>
    <w:rsid w:val="007F3736"/>
    <w:rsid w:val="007F5750"/>
    <w:rsid w:val="007F6B67"/>
    <w:rsid w:val="0080348A"/>
    <w:rsid w:val="00803E7B"/>
    <w:rsid w:val="00804ACD"/>
    <w:rsid w:val="00805717"/>
    <w:rsid w:val="00811766"/>
    <w:rsid w:val="00812491"/>
    <w:rsid w:val="0081303E"/>
    <w:rsid w:val="008173C4"/>
    <w:rsid w:val="00821503"/>
    <w:rsid w:val="00822320"/>
    <w:rsid w:val="00823034"/>
    <w:rsid w:val="008230A4"/>
    <w:rsid w:val="008237E1"/>
    <w:rsid w:val="00824DA7"/>
    <w:rsid w:val="00824F47"/>
    <w:rsid w:val="00825584"/>
    <w:rsid w:val="008270B1"/>
    <w:rsid w:val="008276CF"/>
    <w:rsid w:val="00832567"/>
    <w:rsid w:val="00832A49"/>
    <w:rsid w:val="00833807"/>
    <w:rsid w:val="00837814"/>
    <w:rsid w:val="008426D2"/>
    <w:rsid w:val="008461D1"/>
    <w:rsid w:val="00846C94"/>
    <w:rsid w:val="00846F26"/>
    <w:rsid w:val="008500CC"/>
    <w:rsid w:val="0085172B"/>
    <w:rsid w:val="008517BE"/>
    <w:rsid w:val="00855043"/>
    <w:rsid w:val="00855A40"/>
    <w:rsid w:val="0085682A"/>
    <w:rsid w:val="00857F95"/>
    <w:rsid w:val="0086053A"/>
    <w:rsid w:val="00861132"/>
    <w:rsid w:val="0086156B"/>
    <w:rsid w:val="00863031"/>
    <w:rsid w:val="008636D7"/>
    <w:rsid w:val="00864271"/>
    <w:rsid w:val="0086453A"/>
    <w:rsid w:val="00864D81"/>
    <w:rsid w:val="00883A2E"/>
    <w:rsid w:val="00887283"/>
    <w:rsid w:val="00895645"/>
    <w:rsid w:val="008A0B5C"/>
    <w:rsid w:val="008A0B9B"/>
    <w:rsid w:val="008A3765"/>
    <w:rsid w:val="008A513F"/>
    <w:rsid w:val="008B438F"/>
    <w:rsid w:val="008B59D2"/>
    <w:rsid w:val="008B76B4"/>
    <w:rsid w:val="008C4994"/>
    <w:rsid w:val="008C4C57"/>
    <w:rsid w:val="008D1F04"/>
    <w:rsid w:val="008D31D9"/>
    <w:rsid w:val="008D63A9"/>
    <w:rsid w:val="008E0F40"/>
    <w:rsid w:val="008E1EF9"/>
    <w:rsid w:val="008E7025"/>
    <w:rsid w:val="008E7990"/>
    <w:rsid w:val="008F11D7"/>
    <w:rsid w:val="008F3834"/>
    <w:rsid w:val="008F405A"/>
    <w:rsid w:val="008F5D37"/>
    <w:rsid w:val="00902D05"/>
    <w:rsid w:val="00903E6C"/>
    <w:rsid w:val="00905441"/>
    <w:rsid w:val="00910AD8"/>
    <w:rsid w:val="0091288C"/>
    <w:rsid w:val="00913D4D"/>
    <w:rsid w:val="00917041"/>
    <w:rsid w:val="00920993"/>
    <w:rsid w:val="009243CB"/>
    <w:rsid w:val="00924DE6"/>
    <w:rsid w:val="00924E6F"/>
    <w:rsid w:val="00927EDA"/>
    <w:rsid w:val="00935E53"/>
    <w:rsid w:val="0093694D"/>
    <w:rsid w:val="00936F09"/>
    <w:rsid w:val="009376CA"/>
    <w:rsid w:val="00940A2A"/>
    <w:rsid w:val="00941D8E"/>
    <w:rsid w:val="00943E9F"/>
    <w:rsid w:val="00946C78"/>
    <w:rsid w:val="00955EFF"/>
    <w:rsid w:val="009640CD"/>
    <w:rsid w:val="009662CC"/>
    <w:rsid w:val="0097021F"/>
    <w:rsid w:val="0097251F"/>
    <w:rsid w:val="00972C76"/>
    <w:rsid w:val="0097423F"/>
    <w:rsid w:val="00974342"/>
    <w:rsid w:val="0097521C"/>
    <w:rsid w:val="009774DB"/>
    <w:rsid w:val="0098291D"/>
    <w:rsid w:val="00984B7D"/>
    <w:rsid w:val="00987A18"/>
    <w:rsid w:val="00987CD9"/>
    <w:rsid w:val="00987D7B"/>
    <w:rsid w:val="00990D4B"/>
    <w:rsid w:val="0099433A"/>
    <w:rsid w:val="00994B54"/>
    <w:rsid w:val="009A481E"/>
    <w:rsid w:val="009B3ED0"/>
    <w:rsid w:val="009C0B4A"/>
    <w:rsid w:val="009C6EA6"/>
    <w:rsid w:val="009D2F6B"/>
    <w:rsid w:val="009D3DF5"/>
    <w:rsid w:val="009D5980"/>
    <w:rsid w:val="009E0CCA"/>
    <w:rsid w:val="009E1164"/>
    <w:rsid w:val="009E6E66"/>
    <w:rsid w:val="009F09BE"/>
    <w:rsid w:val="009F2792"/>
    <w:rsid w:val="009F2C88"/>
    <w:rsid w:val="009F5245"/>
    <w:rsid w:val="009F5631"/>
    <w:rsid w:val="009F5C6D"/>
    <w:rsid w:val="009F6586"/>
    <w:rsid w:val="009F67CF"/>
    <w:rsid w:val="00A029E0"/>
    <w:rsid w:val="00A02A92"/>
    <w:rsid w:val="00A03114"/>
    <w:rsid w:val="00A0318D"/>
    <w:rsid w:val="00A05D5F"/>
    <w:rsid w:val="00A125FB"/>
    <w:rsid w:val="00A14185"/>
    <w:rsid w:val="00A14B71"/>
    <w:rsid w:val="00A15084"/>
    <w:rsid w:val="00A20B8B"/>
    <w:rsid w:val="00A21AB3"/>
    <w:rsid w:val="00A22041"/>
    <w:rsid w:val="00A220FD"/>
    <w:rsid w:val="00A22D63"/>
    <w:rsid w:val="00A22F31"/>
    <w:rsid w:val="00A23F50"/>
    <w:rsid w:val="00A269F8"/>
    <w:rsid w:val="00A30499"/>
    <w:rsid w:val="00A32F58"/>
    <w:rsid w:val="00A356AC"/>
    <w:rsid w:val="00A443DB"/>
    <w:rsid w:val="00A445BF"/>
    <w:rsid w:val="00A457A0"/>
    <w:rsid w:val="00A4759A"/>
    <w:rsid w:val="00A52637"/>
    <w:rsid w:val="00A52AF8"/>
    <w:rsid w:val="00A52EE5"/>
    <w:rsid w:val="00A53CEB"/>
    <w:rsid w:val="00A54D2D"/>
    <w:rsid w:val="00A66B19"/>
    <w:rsid w:val="00A67087"/>
    <w:rsid w:val="00A74A05"/>
    <w:rsid w:val="00A76303"/>
    <w:rsid w:val="00A81014"/>
    <w:rsid w:val="00A81B27"/>
    <w:rsid w:val="00A90AAE"/>
    <w:rsid w:val="00A90F5E"/>
    <w:rsid w:val="00A92C9F"/>
    <w:rsid w:val="00A93CD9"/>
    <w:rsid w:val="00A93DAB"/>
    <w:rsid w:val="00A9409C"/>
    <w:rsid w:val="00A97AA5"/>
    <w:rsid w:val="00A97EE7"/>
    <w:rsid w:val="00AA0DBE"/>
    <w:rsid w:val="00AA11C3"/>
    <w:rsid w:val="00AA2330"/>
    <w:rsid w:val="00AA29AD"/>
    <w:rsid w:val="00AA4E9E"/>
    <w:rsid w:val="00AB0BCE"/>
    <w:rsid w:val="00AB1CC7"/>
    <w:rsid w:val="00AB1CDE"/>
    <w:rsid w:val="00AB2300"/>
    <w:rsid w:val="00AB321E"/>
    <w:rsid w:val="00AB5701"/>
    <w:rsid w:val="00AB5BC9"/>
    <w:rsid w:val="00AC2760"/>
    <w:rsid w:val="00AC35CC"/>
    <w:rsid w:val="00AC6989"/>
    <w:rsid w:val="00AD0880"/>
    <w:rsid w:val="00AD25EB"/>
    <w:rsid w:val="00AD3839"/>
    <w:rsid w:val="00AD4886"/>
    <w:rsid w:val="00AD5109"/>
    <w:rsid w:val="00AD5E3D"/>
    <w:rsid w:val="00AE24AB"/>
    <w:rsid w:val="00AE6CBA"/>
    <w:rsid w:val="00AE7572"/>
    <w:rsid w:val="00AF3128"/>
    <w:rsid w:val="00AF7440"/>
    <w:rsid w:val="00B0009A"/>
    <w:rsid w:val="00B0032B"/>
    <w:rsid w:val="00B00F11"/>
    <w:rsid w:val="00B03964"/>
    <w:rsid w:val="00B0547B"/>
    <w:rsid w:val="00B065EF"/>
    <w:rsid w:val="00B07570"/>
    <w:rsid w:val="00B1535C"/>
    <w:rsid w:val="00B15390"/>
    <w:rsid w:val="00B20D2D"/>
    <w:rsid w:val="00B2119A"/>
    <w:rsid w:val="00B221D7"/>
    <w:rsid w:val="00B2676C"/>
    <w:rsid w:val="00B26801"/>
    <w:rsid w:val="00B31094"/>
    <w:rsid w:val="00B32948"/>
    <w:rsid w:val="00B32FFB"/>
    <w:rsid w:val="00B50138"/>
    <w:rsid w:val="00B50816"/>
    <w:rsid w:val="00B514C4"/>
    <w:rsid w:val="00B51DC4"/>
    <w:rsid w:val="00B52C62"/>
    <w:rsid w:val="00B53A77"/>
    <w:rsid w:val="00B548EC"/>
    <w:rsid w:val="00B5645E"/>
    <w:rsid w:val="00B57139"/>
    <w:rsid w:val="00B6139A"/>
    <w:rsid w:val="00B61A21"/>
    <w:rsid w:val="00B61C7A"/>
    <w:rsid w:val="00B65A37"/>
    <w:rsid w:val="00B665E4"/>
    <w:rsid w:val="00B66B12"/>
    <w:rsid w:val="00B70397"/>
    <w:rsid w:val="00B70A74"/>
    <w:rsid w:val="00B72DF7"/>
    <w:rsid w:val="00B80EB6"/>
    <w:rsid w:val="00B82C8C"/>
    <w:rsid w:val="00B84371"/>
    <w:rsid w:val="00B847B4"/>
    <w:rsid w:val="00B85A0A"/>
    <w:rsid w:val="00B85C81"/>
    <w:rsid w:val="00B91FD7"/>
    <w:rsid w:val="00B923BE"/>
    <w:rsid w:val="00B93C73"/>
    <w:rsid w:val="00B95235"/>
    <w:rsid w:val="00BA0156"/>
    <w:rsid w:val="00BA1D71"/>
    <w:rsid w:val="00BA362C"/>
    <w:rsid w:val="00BB07AD"/>
    <w:rsid w:val="00BB1FE5"/>
    <w:rsid w:val="00BB2E3A"/>
    <w:rsid w:val="00BB2F8D"/>
    <w:rsid w:val="00BB3571"/>
    <w:rsid w:val="00BB4018"/>
    <w:rsid w:val="00BB6D5D"/>
    <w:rsid w:val="00BB7006"/>
    <w:rsid w:val="00BC10B8"/>
    <w:rsid w:val="00BC2021"/>
    <w:rsid w:val="00BC3577"/>
    <w:rsid w:val="00BC386D"/>
    <w:rsid w:val="00BC5937"/>
    <w:rsid w:val="00BC7062"/>
    <w:rsid w:val="00BD1FE6"/>
    <w:rsid w:val="00BD38BD"/>
    <w:rsid w:val="00BD47CE"/>
    <w:rsid w:val="00BD5AE8"/>
    <w:rsid w:val="00BD6C82"/>
    <w:rsid w:val="00BD6DB9"/>
    <w:rsid w:val="00BD7EE1"/>
    <w:rsid w:val="00BE1791"/>
    <w:rsid w:val="00BE5EEA"/>
    <w:rsid w:val="00BE5F56"/>
    <w:rsid w:val="00BE740E"/>
    <w:rsid w:val="00BF003E"/>
    <w:rsid w:val="00BF146B"/>
    <w:rsid w:val="00BF3546"/>
    <w:rsid w:val="00BF3565"/>
    <w:rsid w:val="00BF6D0C"/>
    <w:rsid w:val="00BF752F"/>
    <w:rsid w:val="00BF7F9F"/>
    <w:rsid w:val="00C00DCC"/>
    <w:rsid w:val="00C00E0F"/>
    <w:rsid w:val="00C032F5"/>
    <w:rsid w:val="00C034DE"/>
    <w:rsid w:val="00C11F3A"/>
    <w:rsid w:val="00C14444"/>
    <w:rsid w:val="00C16D5F"/>
    <w:rsid w:val="00C20A5E"/>
    <w:rsid w:val="00C216B4"/>
    <w:rsid w:val="00C22C17"/>
    <w:rsid w:val="00C27E08"/>
    <w:rsid w:val="00C41AD7"/>
    <w:rsid w:val="00C428A8"/>
    <w:rsid w:val="00C436DF"/>
    <w:rsid w:val="00C46D70"/>
    <w:rsid w:val="00C51BD4"/>
    <w:rsid w:val="00C54713"/>
    <w:rsid w:val="00C56BDD"/>
    <w:rsid w:val="00C62F68"/>
    <w:rsid w:val="00C63BE2"/>
    <w:rsid w:val="00C652AB"/>
    <w:rsid w:val="00C66AB8"/>
    <w:rsid w:val="00C7055D"/>
    <w:rsid w:val="00C70D45"/>
    <w:rsid w:val="00C72C2B"/>
    <w:rsid w:val="00C7362A"/>
    <w:rsid w:val="00C74B69"/>
    <w:rsid w:val="00C7635B"/>
    <w:rsid w:val="00C763EB"/>
    <w:rsid w:val="00C80A1D"/>
    <w:rsid w:val="00C8196B"/>
    <w:rsid w:val="00C81D42"/>
    <w:rsid w:val="00C82CD9"/>
    <w:rsid w:val="00C83AEE"/>
    <w:rsid w:val="00C8611B"/>
    <w:rsid w:val="00C86360"/>
    <w:rsid w:val="00C8693F"/>
    <w:rsid w:val="00C9042C"/>
    <w:rsid w:val="00C90CCE"/>
    <w:rsid w:val="00C90EF9"/>
    <w:rsid w:val="00C926E2"/>
    <w:rsid w:val="00C95942"/>
    <w:rsid w:val="00CA30CA"/>
    <w:rsid w:val="00CA6067"/>
    <w:rsid w:val="00CB1525"/>
    <w:rsid w:val="00CB1DCA"/>
    <w:rsid w:val="00CB6676"/>
    <w:rsid w:val="00CB6D16"/>
    <w:rsid w:val="00CC0425"/>
    <w:rsid w:val="00CC1477"/>
    <w:rsid w:val="00CD20B4"/>
    <w:rsid w:val="00CD284B"/>
    <w:rsid w:val="00CD339C"/>
    <w:rsid w:val="00CD5FD6"/>
    <w:rsid w:val="00CE18D5"/>
    <w:rsid w:val="00CE1AE5"/>
    <w:rsid w:val="00CE2205"/>
    <w:rsid w:val="00CE38DE"/>
    <w:rsid w:val="00CE50DA"/>
    <w:rsid w:val="00CF0E64"/>
    <w:rsid w:val="00CF30CA"/>
    <w:rsid w:val="00CF383A"/>
    <w:rsid w:val="00CF5CB3"/>
    <w:rsid w:val="00CF6C7D"/>
    <w:rsid w:val="00CF787D"/>
    <w:rsid w:val="00CF7C89"/>
    <w:rsid w:val="00D02D28"/>
    <w:rsid w:val="00D03152"/>
    <w:rsid w:val="00D10077"/>
    <w:rsid w:val="00D1370B"/>
    <w:rsid w:val="00D15F3D"/>
    <w:rsid w:val="00D16751"/>
    <w:rsid w:val="00D17EE5"/>
    <w:rsid w:val="00D2145D"/>
    <w:rsid w:val="00D2192A"/>
    <w:rsid w:val="00D23B11"/>
    <w:rsid w:val="00D26BA4"/>
    <w:rsid w:val="00D30645"/>
    <w:rsid w:val="00D3325E"/>
    <w:rsid w:val="00D34A30"/>
    <w:rsid w:val="00D34F2C"/>
    <w:rsid w:val="00D369B1"/>
    <w:rsid w:val="00D42BA7"/>
    <w:rsid w:val="00D43DA9"/>
    <w:rsid w:val="00D47BDD"/>
    <w:rsid w:val="00D56AB2"/>
    <w:rsid w:val="00D56D33"/>
    <w:rsid w:val="00D61C8F"/>
    <w:rsid w:val="00D65206"/>
    <w:rsid w:val="00D65488"/>
    <w:rsid w:val="00D66FB7"/>
    <w:rsid w:val="00D7162D"/>
    <w:rsid w:val="00D733F6"/>
    <w:rsid w:val="00D738F0"/>
    <w:rsid w:val="00D73FC0"/>
    <w:rsid w:val="00D742A0"/>
    <w:rsid w:val="00D760C5"/>
    <w:rsid w:val="00D77794"/>
    <w:rsid w:val="00D77D47"/>
    <w:rsid w:val="00D81428"/>
    <w:rsid w:val="00D8482F"/>
    <w:rsid w:val="00D84DC9"/>
    <w:rsid w:val="00D85936"/>
    <w:rsid w:val="00D861FE"/>
    <w:rsid w:val="00D87D94"/>
    <w:rsid w:val="00D92BC3"/>
    <w:rsid w:val="00D94655"/>
    <w:rsid w:val="00D9585B"/>
    <w:rsid w:val="00D95E1F"/>
    <w:rsid w:val="00DA2DC6"/>
    <w:rsid w:val="00DA365D"/>
    <w:rsid w:val="00DA3C35"/>
    <w:rsid w:val="00DA3D81"/>
    <w:rsid w:val="00DA4FB0"/>
    <w:rsid w:val="00DB0F16"/>
    <w:rsid w:val="00DB4906"/>
    <w:rsid w:val="00DB66AB"/>
    <w:rsid w:val="00DB756A"/>
    <w:rsid w:val="00DC14C2"/>
    <w:rsid w:val="00DC1846"/>
    <w:rsid w:val="00DC32C9"/>
    <w:rsid w:val="00DC3C0A"/>
    <w:rsid w:val="00DC4D61"/>
    <w:rsid w:val="00DD18A4"/>
    <w:rsid w:val="00DD1EC6"/>
    <w:rsid w:val="00DD27B9"/>
    <w:rsid w:val="00DE6352"/>
    <w:rsid w:val="00DF03C7"/>
    <w:rsid w:val="00DF0526"/>
    <w:rsid w:val="00DF08AA"/>
    <w:rsid w:val="00DF1426"/>
    <w:rsid w:val="00DF2889"/>
    <w:rsid w:val="00DF393E"/>
    <w:rsid w:val="00DF3A32"/>
    <w:rsid w:val="00DF6DCD"/>
    <w:rsid w:val="00E0043E"/>
    <w:rsid w:val="00E008E7"/>
    <w:rsid w:val="00E045D4"/>
    <w:rsid w:val="00E06228"/>
    <w:rsid w:val="00E108C1"/>
    <w:rsid w:val="00E1183B"/>
    <w:rsid w:val="00E14B3E"/>
    <w:rsid w:val="00E1538C"/>
    <w:rsid w:val="00E1717C"/>
    <w:rsid w:val="00E208E6"/>
    <w:rsid w:val="00E2355F"/>
    <w:rsid w:val="00E262FE"/>
    <w:rsid w:val="00E320F2"/>
    <w:rsid w:val="00E3303A"/>
    <w:rsid w:val="00E3686F"/>
    <w:rsid w:val="00E40500"/>
    <w:rsid w:val="00E41747"/>
    <w:rsid w:val="00E47224"/>
    <w:rsid w:val="00E47BBC"/>
    <w:rsid w:val="00E51761"/>
    <w:rsid w:val="00E51EAE"/>
    <w:rsid w:val="00E53828"/>
    <w:rsid w:val="00E5471F"/>
    <w:rsid w:val="00E5485C"/>
    <w:rsid w:val="00E553F1"/>
    <w:rsid w:val="00E568DD"/>
    <w:rsid w:val="00E63B5A"/>
    <w:rsid w:val="00E668B3"/>
    <w:rsid w:val="00E719A2"/>
    <w:rsid w:val="00E72E11"/>
    <w:rsid w:val="00E73FE4"/>
    <w:rsid w:val="00E75C2A"/>
    <w:rsid w:val="00E76C35"/>
    <w:rsid w:val="00E8300C"/>
    <w:rsid w:val="00E86A81"/>
    <w:rsid w:val="00E92440"/>
    <w:rsid w:val="00E927F7"/>
    <w:rsid w:val="00E947D2"/>
    <w:rsid w:val="00E94F54"/>
    <w:rsid w:val="00E961EB"/>
    <w:rsid w:val="00EA017C"/>
    <w:rsid w:val="00EA2826"/>
    <w:rsid w:val="00EA5E0A"/>
    <w:rsid w:val="00EB06A2"/>
    <w:rsid w:val="00EB0DDC"/>
    <w:rsid w:val="00EB272C"/>
    <w:rsid w:val="00EB2B98"/>
    <w:rsid w:val="00EB54E9"/>
    <w:rsid w:val="00EB6D0B"/>
    <w:rsid w:val="00EB7871"/>
    <w:rsid w:val="00EC0625"/>
    <w:rsid w:val="00EC1C51"/>
    <w:rsid w:val="00EC3EFF"/>
    <w:rsid w:val="00EC4C71"/>
    <w:rsid w:val="00EC56C6"/>
    <w:rsid w:val="00EC5D3E"/>
    <w:rsid w:val="00ED02A9"/>
    <w:rsid w:val="00ED1186"/>
    <w:rsid w:val="00ED128B"/>
    <w:rsid w:val="00ED1D2D"/>
    <w:rsid w:val="00ED2A12"/>
    <w:rsid w:val="00ED6249"/>
    <w:rsid w:val="00ED673F"/>
    <w:rsid w:val="00EE3E6A"/>
    <w:rsid w:val="00EE71F9"/>
    <w:rsid w:val="00EE781E"/>
    <w:rsid w:val="00EF2F63"/>
    <w:rsid w:val="00EF41B7"/>
    <w:rsid w:val="00EF48A9"/>
    <w:rsid w:val="00EF4FBD"/>
    <w:rsid w:val="00F0729F"/>
    <w:rsid w:val="00F11FF0"/>
    <w:rsid w:val="00F17C70"/>
    <w:rsid w:val="00F21003"/>
    <w:rsid w:val="00F21AE8"/>
    <w:rsid w:val="00F21C72"/>
    <w:rsid w:val="00F244B2"/>
    <w:rsid w:val="00F24FBB"/>
    <w:rsid w:val="00F30E5B"/>
    <w:rsid w:val="00F30FF7"/>
    <w:rsid w:val="00F339A2"/>
    <w:rsid w:val="00F3434D"/>
    <w:rsid w:val="00F347C9"/>
    <w:rsid w:val="00F352C6"/>
    <w:rsid w:val="00F37943"/>
    <w:rsid w:val="00F379E6"/>
    <w:rsid w:val="00F40DDE"/>
    <w:rsid w:val="00F42704"/>
    <w:rsid w:val="00F4315A"/>
    <w:rsid w:val="00F4319D"/>
    <w:rsid w:val="00F46195"/>
    <w:rsid w:val="00F46391"/>
    <w:rsid w:val="00F470A4"/>
    <w:rsid w:val="00F478C6"/>
    <w:rsid w:val="00F52DFC"/>
    <w:rsid w:val="00F53FCF"/>
    <w:rsid w:val="00F54190"/>
    <w:rsid w:val="00F555F6"/>
    <w:rsid w:val="00F62419"/>
    <w:rsid w:val="00F627DA"/>
    <w:rsid w:val="00F634FA"/>
    <w:rsid w:val="00F66C44"/>
    <w:rsid w:val="00F66E1A"/>
    <w:rsid w:val="00F71F80"/>
    <w:rsid w:val="00F738CA"/>
    <w:rsid w:val="00F74A8E"/>
    <w:rsid w:val="00F848FD"/>
    <w:rsid w:val="00F84E01"/>
    <w:rsid w:val="00F85FCE"/>
    <w:rsid w:val="00F902DB"/>
    <w:rsid w:val="00F9352B"/>
    <w:rsid w:val="00F9365C"/>
    <w:rsid w:val="00F938E7"/>
    <w:rsid w:val="00F93C8F"/>
    <w:rsid w:val="00F9788C"/>
    <w:rsid w:val="00FA2D9A"/>
    <w:rsid w:val="00FA5FCE"/>
    <w:rsid w:val="00FA772D"/>
    <w:rsid w:val="00FB29D6"/>
    <w:rsid w:val="00FB34ED"/>
    <w:rsid w:val="00FB4075"/>
    <w:rsid w:val="00FC00FB"/>
    <w:rsid w:val="00FC05E5"/>
    <w:rsid w:val="00FC0ED0"/>
    <w:rsid w:val="00FC292A"/>
    <w:rsid w:val="00FC4265"/>
    <w:rsid w:val="00FD2285"/>
    <w:rsid w:val="00FD299E"/>
    <w:rsid w:val="00FD2CCF"/>
    <w:rsid w:val="00FD33BC"/>
    <w:rsid w:val="00FE299E"/>
    <w:rsid w:val="00FE4A68"/>
    <w:rsid w:val="00FE4CF6"/>
    <w:rsid w:val="00FE79F6"/>
    <w:rsid w:val="00FF0665"/>
    <w:rsid w:val="00FF0E80"/>
    <w:rsid w:val="00FF0F95"/>
    <w:rsid w:val="00FF1FFD"/>
    <w:rsid w:val="00FF224A"/>
    <w:rsid w:val="00FF311F"/>
    <w:rsid w:val="00FF3308"/>
    <w:rsid w:val="00FF4774"/>
    <w:rsid w:val="00FF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6"/>
  </w:style>
  <w:style w:type="paragraph" w:styleId="1">
    <w:name w:val="heading 1"/>
    <w:basedOn w:val="a"/>
    <w:next w:val="a"/>
    <w:link w:val="10"/>
    <w:uiPriority w:val="9"/>
    <w:qFormat/>
    <w:rsid w:val="00123F86"/>
    <w:pPr>
      <w:keepNext/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F86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23F86"/>
  </w:style>
  <w:style w:type="numbering" w:customStyle="1" w:styleId="110">
    <w:name w:val="Нет списка11"/>
    <w:next w:val="a2"/>
    <w:uiPriority w:val="99"/>
    <w:semiHidden/>
    <w:unhideWhenUsed/>
    <w:rsid w:val="00123F86"/>
  </w:style>
  <w:style w:type="paragraph" w:customStyle="1" w:styleId="ConsPlusTitle">
    <w:name w:val="ConsPlusTitle"/>
    <w:rsid w:val="00123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123F86"/>
    <w:pPr>
      <w:widowControl w:val="0"/>
      <w:spacing w:after="0" w:line="-379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rsid w:val="00123F8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3F86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123F8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23F86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123F8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123F86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123F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123F86"/>
    <w:pPr>
      <w:ind w:left="708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12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123F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123F86"/>
    <w:pPr>
      <w:autoSpaceDE w:val="0"/>
      <w:autoSpaceDN w:val="0"/>
      <w:adjustRightInd w:val="0"/>
      <w:spacing w:before="40"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123F8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123F86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123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23F8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123F86"/>
    <w:rPr>
      <w:rFonts w:ascii="Calibri" w:eastAsia="Calibri" w:hAnsi="Calibri" w:cs="Times New Roman"/>
    </w:rPr>
  </w:style>
  <w:style w:type="character" w:customStyle="1" w:styleId="butback1">
    <w:name w:val="butback1"/>
    <w:rsid w:val="00123F86"/>
    <w:rPr>
      <w:color w:val="666666"/>
    </w:rPr>
  </w:style>
  <w:style w:type="character" w:customStyle="1" w:styleId="submenu-table">
    <w:name w:val="submenu-table"/>
    <w:rsid w:val="00123F86"/>
  </w:style>
  <w:style w:type="paragraph" w:styleId="3">
    <w:name w:val="Body Text Indent 3"/>
    <w:basedOn w:val="a"/>
    <w:link w:val="30"/>
    <w:rsid w:val="00123F86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3F86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123F8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23F86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123F86"/>
    <w:pPr>
      <w:suppressAutoHyphens/>
      <w:spacing w:before="60" w:after="6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123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123F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123F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123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23F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23F86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12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2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123F86"/>
    <w:rPr>
      <w:vertAlign w:val="superscript"/>
    </w:rPr>
  </w:style>
  <w:style w:type="paragraph" w:styleId="af7">
    <w:name w:val="Body Text"/>
    <w:basedOn w:val="a"/>
    <w:link w:val="af8"/>
    <w:rsid w:val="00123F86"/>
    <w:pPr>
      <w:spacing w:after="120"/>
    </w:pPr>
    <w:rPr>
      <w:rFonts w:ascii="Calibri" w:eastAsia="Calibri" w:hAnsi="Calibri" w:cs="Times New Roman"/>
    </w:rPr>
  </w:style>
  <w:style w:type="character" w:customStyle="1" w:styleId="af8">
    <w:name w:val="Основной текст Знак"/>
    <w:basedOn w:val="a0"/>
    <w:link w:val="af7"/>
    <w:rsid w:val="00123F86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23F86"/>
  </w:style>
  <w:style w:type="paragraph" w:styleId="af9">
    <w:name w:val="Subtitle"/>
    <w:basedOn w:val="a"/>
    <w:next w:val="a"/>
    <w:link w:val="afa"/>
    <w:qFormat/>
    <w:rsid w:val="00123F86"/>
    <w:pPr>
      <w:spacing w:after="60" w:line="240" w:lineRule="auto"/>
      <w:jc w:val="center"/>
      <w:outlineLvl w:val="1"/>
    </w:pPr>
    <w:rPr>
      <w:rFonts w:ascii="Calibri" w:eastAsia="Calibri" w:hAnsi="Calibri" w:cs="Times New Roman"/>
      <w:b/>
      <w:i/>
      <w:sz w:val="28"/>
      <w:szCs w:val="24"/>
    </w:rPr>
  </w:style>
  <w:style w:type="character" w:customStyle="1" w:styleId="afa">
    <w:name w:val="Подзаголовок Знак"/>
    <w:basedOn w:val="a0"/>
    <w:link w:val="af9"/>
    <w:rsid w:val="00123F86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23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5">
    <w:name w:val="Body text (5)_"/>
    <w:basedOn w:val="a0"/>
    <w:link w:val="Bodytext50"/>
    <w:rsid w:val="00123F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123F86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31">
    <w:name w:val="Сетка таблицы3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123F8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23F86"/>
  </w:style>
  <w:style w:type="paragraph" w:styleId="afb">
    <w:name w:val="Title"/>
    <w:basedOn w:val="a"/>
    <w:link w:val="afc"/>
    <w:qFormat/>
    <w:rsid w:val="002C25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2C25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6"/>
  </w:style>
  <w:style w:type="paragraph" w:styleId="1">
    <w:name w:val="heading 1"/>
    <w:basedOn w:val="a"/>
    <w:next w:val="a"/>
    <w:link w:val="10"/>
    <w:uiPriority w:val="9"/>
    <w:qFormat/>
    <w:rsid w:val="00123F86"/>
    <w:pPr>
      <w:keepNext/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F86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23F86"/>
  </w:style>
  <w:style w:type="numbering" w:customStyle="1" w:styleId="110">
    <w:name w:val="Нет списка11"/>
    <w:next w:val="a2"/>
    <w:uiPriority w:val="99"/>
    <w:semiHidden/>
    <w:unhideWhenUsed/>
    <w:rsid w:val="00123F86"/>
  </w:style>
  <w:style w:type="paragraph" w:customStyle="1" w:styleId="ConsPlusTitle">
    <w:name w:val="ConsPlusTitle"/>
    <w:rsid w:val="00123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123F86"/>
    <w:pPr>
      <w:widowControl w:val="0"/>
      <w:spacing w:after="0" w:line="-379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rsid w:val="00123F8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123F86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123F8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123F86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123F8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rsid w:val="00123F86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123F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123F86"/>
    <w:pPr>
      <w:ind w:left="708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12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123F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123F86"/>
    <w:pPr>
      <w:autoSpaceDE w:val="0"/>
      <w:autoSpaceDN w:val="0"/>
      <w:adjustRightInd w:val="0"/>
      <w:spacing w:before="40"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123F8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123F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123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23F86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23F86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123F86"/>
    <w:rPr>
      <w:color w:val="666666"/>
    </w:rPr>
  </w:style>
  <w:style w:type="character" w:customStyle="1" w:styleId="submenu-table">
    <w:name w:val="submenu-table"/>
    <w:rsid w:val="00123F86"/>
  </w:style>
  <w:style w:type="paragraph" w:styleId="3">
    <w:name w:val="Body Text Indent 3"/>
    <w:basedOn w:val="a"/>
    <w:link w:val="30"/>
    <w:rsid w:val="00123F8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123F86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123F8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23F86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123F86"/>
    <w:pPr>
      <w:suppressAutoHyphens/>
      <w:spacing w:before="60" w:after="6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123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123F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123F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123F8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123F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23F86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12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uiPriority w:val="99"/>
    <w:rsid w:val="00123F8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123F86"/>
    <w:rPr>
      <w:vertAlign w:val="superscript"/>
    </w:rPr>
  </w:style>
  <w:style w:type="paragraph" w:styleId="af7">
    <w:name w:val="Body Text"/>
    <w:basedOn w:val="a"/>
    <w:link w:val="af8"/>
    <w:rsid w:val="00123F86"/>
    <w:pPr>
      <w:spacing w:after="120"/>
    </w:pPr>
    <w:rPr>
      <w:rFonts w:ascii="Calibri" w:eastAsia="Calibri" w:hAnsi="Calibri" w:cs="Times New Roman"/>
    </w:rPr>
  </w:style>
  <w:style w:type="character" w:customStyle="1" w:styleId="af8">
    <w:name w:val="Основной текст Знак"/>
    <w:basedOn w:val="a0"/>
    <w:link w:val="af7"/>
    <w:rsid w:val="00123F86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23F86"/>
  </w:style>
  <w:style w:type="paragraph" w:styleId="af9">
    <w:name w:val="Subtitle"/>
    <w:basedOn w:val="a"/>
    <w:next w:val="a"/>
    <w:link w:val="afa"/>
    <w:qFormat/>
    <w:rsid w:val="00123F86"/>
    <w:pPr>
      <w:spacing w:after="60" w:line="240" w:lineRule="auto"/>
      <w:jc w:val="center"/>
      <w:outlineLvl w:val="1"/>
    </w:pPr>
    <w:rPr>
      <w:rFonts w:ascii="Calibri" w:eastAsia="Calibri" w:hAnsi="Calibri" w:cs="Times New Roman"/>
      <w:b/>
      <w:i/>
      <w:sz w:val="28"/>
      <w:szCs w:val="24"/>
    </w:rPr>
  </w:style>
  <w:style w:type="character" w:customStyle="1" w:styleId="afa">
    <w:name w:val="Подзаголовок Знак"/>
    <w:basedOn w:val="a0"/>
    <w:link w:val="af9"/>
    <w:rsid w:val="00123F86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"/>
    <w:uiPriority w:val="59"/>
    <w:rsid w:val="00123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23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5">
    <w:name w:val="Body text (5)_"/>
    <w:basedOn w:val="a0"/>
    <w:link w:val="Bodytext50"/>
    <w:rsid w:val="00123F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123F86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31">
    <w:name w:val="Сетка таблицы3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1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123F8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23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2112F8A80D9467C1CD9B6CDADFD26E5BCCD465E19C165A59459898B8518C0D12DB5B60C052p0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320C-91DC-4385-90CF-0013BF28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30</Pages>
  <Words>10324</Words>
  <Characters>58852</Characters>
  <Application>Microsoft Office Word</Application>
  <DocSecurity>0</DocSecurity>
  <Lines>490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Согласно пояснительной записке к проекту решения доходы городского бюджета на 20</vt:lpstr>
    </vt:vector>
  </TitlesOfParts>
  <Company>Reanimator Extreme Edition</Company>
  <LinksUpToDate>false</LinksUpToDate>
  <CharactersWithSpaces>69038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96</cp:revision>
  <cp:lastPrinted>2024-11-22T10:05:00Z</cp:lastPrinted>
  <dcterms:created xsi:type="dcterms:W3CDTF">2024-11-13T06:18:00Z</dcterms:created>
  <dcterms:modified xsi:type="dcterms:W3CDTF">2024-11-28T06:23:00Z</dcterms:modified>
</cp:coreProperties>
</file>